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4F" w:rsidRPr="00400004" w:rsidRDefault="001F2C4F" w:rsidP="00400004">
      <w:pPr>
        <w:jc w:val="center"/>
        <w:rPr>
          <w:sz w:val="24"/>
          <w:szCs w:val="24"/>
        </w:rPr>
      </w:pPr>
    </w:p>
    <w:p w:rsidR="00400004" w:rsidRPr="00400004" w:rsidRDefault="00400004" w:rsidP="00400004">
      <w:pPr>
        <w:widowControl w:val="0"/>
        <w:autoSpaceDE w:val="0"/>
        <w:autoSpaceDN w:val="0"/>
        <w:adjustRightInd w:val="0"/>
        <w:jc w:val="center"/>
        <w:rPr>
          <w:rFonts w:ascii="Arial" w:hAnsi="Arial" w:cs="Arial"/>
          <w:b/>
          <w:bCs/>
          <w:position w:val="-1"/>
          <w:sz w:val="24"/>
          <w:szCs w:val="24"/>
          <w:u w:val="single"/>
        </w:rPr>
      </w:pPr>
      <w:r w:rsidRPr="00400004">
        <w:rPr>
          <w:rFonts w:ascii="Arial" w:hAnsi="Arial" w:cs="Arial"/>
          <w:b/>
          <w:bCs/>
          <w:spacing w:val="2"/>
          <w:position w:val="-1"/>
          <w:sz w:val="24"/>
          <w:szCs w:val="24"/>
          <w:u w:val="single"/>
        </w:rPr>
        <w:t>TE</w:t>
      </w:r>
      <w:r w:rsidRPr="00400004">
        <w:rPr>
          <w:rFonts w:ascii="Arial" w:hAnsi="Arial" w:cs="Arial"/>
          <w:b/>
          <w:bCs/>
          <w:spacing w:val="-1"/>
          <w:position w:val="-1"/>
          <w:sz w:val="24"/>
          <w:szCs w:val="24"/>
          <w:u w:val="single"/>
        </w:rPr>
        <w:t>R</w:t>
      </w:r>
      <w:r w:rsidRPr="00400004">
        <w:rPr>
          <w:rFonts w:ascii="Arial" w:hAnsi="Arial" w:cs="Arial"/>
          <w:b/>
          <w:bCs/>
          <w:spacing w:val="-2"/>
          <w:position w:val="-1"/>
          <w:sz w:val="24"/>
          <w:szCs w:val="24"/>
          <w:u w:val="single"/>
        </w:rPr>
        <w:t>M</w:t>
      </w:r>
      <w:r w:rsidRPr="00400004">
        <w:rPr>
          <w:rFonts w:ascii="Arial" w:hAnsi="Arial" w:cs="Arial"/>
          <w:b/>
          <w:bCs/>
          <w:position w:val="-1"/>
          <w:sz w:val="24"/>
          <w:szCs w:val="24"/>
          <w:u w:val="single"/>
        </w:rPr>
        <w:t xml:space="preserve">O </w:t>
      </w:r>
      <w:r w:rsidRPr="00400004">
        <w:rPr>
          <w:rFonts w:ascii="Arial" w:hAnsi="Arial" w:cs="Arial"/>
          <w:b/>
          <w:bCs/>
          <w:spacing w:val="-6"/>
          <w:position w:val="-1"/>
          <w:sz w:val="24"/>
          <w:szCs w:val="24"/>
          <w:u w:val="single"/>
        </w:rPr>
        <w:t>D</w:t>
      </w:r>
      <w:r w:rsidRPr="00400004">
        <w:rPr>
          <w:rFonts w:ascii="Arial" w:hAnsi="Arial" w:cs="Arial"/>
          <w:b/>
          <w:bCs/>
          <w:position w:val="-1"/>
          <w:sz w:val="24"/>
          <w:szCs w:val="24"/>
          <w:u w:val="single"/>
        </w:rPr>
        <w:t xml:space="preserve">E </w:t>
      </w:r>
      <w:r w:rsidRPr="00400004">
        <w:rPr>
          <w:rFonts w:ascii="Arial" w:hAnsi="Arial" w:cs="Arial"/>
          <w:b/>
          <w:bCs/>
          <w:spacing w:val="-6"/>
          <w:position w:val="-1"/>
          <w:sz w:val="24"/>
          <w:szCs w:val="24"/>
          <w:u w:val="single"/>
        </w:rPr>
        <w:t>R</w:t>
      </w:r>
      <w:r w:rsidRPr="00400004">
        <w:rPr>
          <w:rFonts w:ascii="Arial" w:hAnsi="Arial" w:cs="Arial"/>
          <w:b/>
          <w:bCs/>
          <w:spacing w:val="2"/>
          <w:position w:val="-1"/>
          <w:sz w:val="24"/>
          <w:szCs w:val="24"/>
          <w:u w:val="single"/>
        </w:rPr>
        <w:t>E</w:t>
      </w:r>
      <w:r w:rsidRPr="00400004">
        <w:rPr>
          <w:rFonts w:ascii="Arial" w:hAnsi="Arial" w:cs="Arial"/>
          <w:b/>
          <w:bCs/>
          <w:spacing w:val="-5"/>
          <w:position w:val="-1"/>
          <w:sz w:val="24"/>
          <w:szCs w:val="24"/>
          <w:u w:val="single"/>
        </w:rPr>
        <w:t>F</w:t>
      </w:r>
      <w:r w:rsidRPr="00400004">
        <w:rPr>
          <w:rFonts w:ascii="Arial" w:hAnsi="Arial" w:cs="Arial"/>
          <w:b/>
          <w:bCs/>
          <w:spacing w:val="2"/>
          <w:position w:val="-1"/>
          <w:sz w:val="24"/>
          <w:szCs w:val="24"/>
          <w:u w:val="single"/>
        </w:rPr>
        <w:t>E</w:t>
      </w:r>
      <w:r w:rsidRPr="00400004">
        <w:rPr>
          <w:rFonts w:ascii="Arial" w:hAnsi="Arial" w:cs="Arial"/>
          <w:b/>
          <w:bCs/>
          <w:spacing w:val="-1"/>
          <w:position w:val="-1"/>
          <w:sz w:val="24"/>
          <w:szCs w:val="24"/>
          <w:u w:val="single"/>
        </w:rPr>
        <w:t>R</w:t>
      </w:r>
      <w:r w:rsidRPr="00400004">
        <w:rPr>
          <w:rFonts w:ascii="Arial" w:hAnsi="Arial" w:cs="Arial"/>
          <w:b/>
          <w:bCs/>
          <w:spacing w:val="2"/>
          <w:position w:val="-1"/>
          <w:sz w:val="24"/>
          <w:szCs w:val="24"/>
          <w:u w:val="single"/>
        </w:rPr>
        <w:t>Ê</w:t>
      </w:r>
      <w:r w:rsidRPr="00400004">
        <w:rPr>
          <w:rFonts w:ascii="Arial" w:hAnsi="Arial" w:cs="Arial"/>
          <w:b/>
          <w:bCs/>
          <w:spacing w:val="-1"/>
          <w:position w:val="-1"/>
          <w:sz w:val="24"/>
          <w:szCs w:val="24"/>
          <w:u w:val="single"/>
        </w:rPr>
        <w:t>NC</w:t>
      </w:r>
      <w:r w:rsidRPr="00400004">
        <w:rPr>
          <w:rFonts w:ascii="Arial" w:hAnsi="Arial" w:cs="Arial"/>
          <w:b/>
          <w:bCs/>
          <w:spacing w:val="1"/>
          <w:position w:val="-1"/>
          <w:sz w:val="24"/>
          <w:szCs w:val="24"/>
          <w:u w:val="single"/>
        </w:rPr>
        <w:t>I</w:t>
      </w:r>
      <w:r w:rsidRPr="00400004">
        <w:rPr>
          <w:rFonts w:ascii="Arial" w:hAnsi="Arial" w:cs="Arial"/>
          <w:b/>
          <w:bCs/>
          <w:position w:val="-1"/>
          <w:sz w:val="24"/>
          <w:szCs w:val="24"/>
          <w:u w:val="single"/>
        </w:rPr>
        <w:t>A</w:t>
      </w:r>
    </w:p>
    <w:p w:rsidR="00400004" w:rsidRPr="00400004" w:rsidRDefault="00400004" w:rsidP="00400004">
      <w:pPr>
        <w:jc w:val="both"/>
        <w:rPr>
          <w:rFonts w:ascii="Arial" w:hAnsi="Arial" w:cs="Arial"/>
          <w:color w:val="FF0000"/>
          <w:sz w:val="24"/>
          <w:szCs w:val="24"/>
        </w:rPr>
      </w:pPr>
    </w:p>
    <w:p w:rsidR="00400004" w:rsidRPr="00400004" w:rsidRDefault="00400004" w:rsidP="00400004">
      <w:pPr>
        <w:widowControl w:val="0"/>
        <w:numPr>
          <w:ilvl w:val="0"/>
          <w:numId w:val="1"/>
        </w:numPr>
        <w:pBdr>
          <w:left w:val="single" w:sz="4" w:space="4" w:color="auto"/>
        </w:pBdr>
        <w:autoSpaceDE w:val="0"/>
        <w:autoSpaceDN w:val="0"/>
        <w:adjustRightInd w:val="0"/>
        <w:spacing w:before="2" w:after="0" w:line="240" w:lineRule="auto"/>
        <w:ind w:left="851" w:right="186" w:hanging="709"/>
        <w:rPr>
          <w:rFonts w:ascii="Arial" w:hAnsi="Arial" w:cs="Arial"/>
          <w:b/>
          <w:sz w:val="24"/>
          <w:szCs w:val="24"/>
        </w:rPr>
      </w:pPr>
      <w:r w:rsidRPr="00400004">
        <w:rPr>
          <w:rFonts w:ascii="Arial" w:hAnsi="Arial" w:cs="Arial"/>
          <w:b/>
          <w:sz w:val="24"/>
          <w:szCs w:val="24"/>
        </w:rPr>
        <w:t>DO OBJETO</w:t>
      </w:r>
    </w:p>
    <w:p w:rsidR="00400004" w:rsidRPr="00400004" w:rsidRDefault="00400004" w:rsidP="00400004">
      <w:pPr>
        <w:widowControl w:val="0"/>
        <w:autoSpaceDE w:val="0"/>
        <w:autoSpaceDN w:val="0"/>
        <w:adjustRightInd w:val="0"/>
        <w:spacing w:before="2"/>
        <w:ind w:right="186"/>
        <w:jc w:val="both"/>
        <w:rPr>
          <w:rFonts w:ascii="Arial" w:hAnsi="Arial" w:cs="Arial"/>
          <w:spacing w:val="-6"/>
          <w:sz w:val="24"/>
          <w:szCs w:val="24"/>
        </w:rPr>
      </w:pPr>
    </w:p>
    <w:p w:rsidR="00400004" w:rsidRPr="00EA7A1F" w:rsidRDefault="00400004" w:rsidP="00EA7A1F">
      <w:pPr>
        <w:jc w:val="both"/>
        <w:rPr>
          <w:color w:val="000000"/>
          <w:sz w:val="24"/>
          <w:szCs w:val="24"/>
        </w:rPr>
      </w:pPr>
      <w:r w:rsidRPr="003221B6">
        <w:rPr>
          <w:rFonts w:ascii="Arial" w:hAnsi="Arial" w:cs="Arial"/>
          <w:sz w:val="24"/>
          <w:szCs w:val="24"/>
        </w:rPr>
        <w:t xml:space="preserve">O presente Termo de Referência tem por objeto é a </w:t>
      </w:r>
      <w:r w:rsidR="003221B6" w:rsidRPr="003221B6">
        <w:rPr>
          <w:rFonts w:ascii="Arial" w:hAnsi="Arial" w:cs="Arial"/>
          <w:b/>
          <w:sz w:val="24"/>
          <w:szCs w:val="24"/>
        </w:rPr>
        <w:t xml:space="preserve">contratação de empresa </w:t>
      </w:r>
      <w:r w:rsidR="003221B6" w:rsidRPr="003221B6">
        <w:rPr>
          <w:rFonts w:ascii="Arial" w:eastAsia="Calibri" w:hAnsi="Arial" w:cs="Arial"/>
          <w:b/>
          <w:color w:val="000000"/>
          <w:sz w:val="24"/>
          <w:szCs w:val="24"/>
        </w:rPr>
        <w:t>para aq</w:t>
      </w:r>
      <w:r w:rsidR="00E70BF0">
        <w:rPr>
          <w:rFonts w:ascii="Arial" w:eastAsia="Calibri" w:hAnsi="Arial" w:cs="Arial"/>
          <w:b/>
          <w:color w:val="000000"/>
          <w:sz w:val="24"/>
          <w:szCs w:val="24"/>
        </w:rPr>
        <w:t xml:space="preserve">uisição de material de Limpeza </w:t>
      </w:r>
      <w:r w:rsidR="003221B6" w:rsidRPr="003221B6">
        <w:rPr>
          <w:rFonts w:ascii="Arial" w:eastAsia="Calibri" w:hAnsi="Arial" w:cs="Arial"/>
          <w:b/>
          <w:color w:val="000000"/>
          <w:sz w:val="24"/>
          <w:szCs w:val="24"/>
        </w:rPr>
        <w:t>para atender as demandas</w:t>
      </w:r>
      <w:r w:rsidR="003221B6" w:rsidRPr="003221B6">
        <w:rPr>
          <w:rFonts w:ascii="Arial" w:hAnsi="Arial" w:cs="Arial"/>
          <w:b/>
          <w:sz w:val="24"/>
          <w:szCs w:val="24"/>
        </w:rPr>
        <w:t xml:space="preserve"> </w:t>
      </w:r>
      <w:r w:rsidR="003221B6" w:rsidRPr="003221B6">
        <w:rPr>
          <w:rFonts w:ascii="Arial" w:eastAsia="Calibri" w:hAnsi="Arial" w:cs="Arial"/>
          <w:b/>
          <w:color w:val="000000"/>
          <w:sz w:val="24"/>
          <w:szCs w:val="24"/>
        </w:rPr>
        <w:t xml:space="preserve">do Fundo Municipal de Assistência Social, do Município de Bernardo </w:t>
      </w:r>
      <w:proofErr w:type="gramStart"/>
      <w:r w:rsidR="003221B6" w:rsidRPr="003221B6">
        <w:rPr>
          <w:rFonts w:ascii="Arial" w:eastAsia="Calibri" w:hAnsi="Arial" w:cs="Arial"/>
          <w:b/>
          <w:color w:val="000000"/>
          <w:sz w:val="24"/>
          <w:szCs w:val="24"/>
        </w:rPr>
        <w:t>Sayão-TO</w:t>
      </w:r>
      <w:proofErr w:type="gramEnd"/>
      <w:r w:rsidR="003221B6" w:rsidRPr="003221B6">
        <w:rPr>
          <w:rFonts w:ascii="Arial" w:eastAsia="Calibri" w:hAnsi="Arial" w:cs="Arial"/>
          <w:b/>
          <w:color w:val="000000"/>
          <w:sz w:val="24"/>
          <w:szCs w:val="24"/>
        </w:rPr>
        <w:t>, durante o exercício de 2023</w:t>
      </w:r>
      <w:r w:rsidR="00EA7A1F">
        <w:rPr>
          <w:rFonts w:ascii="Arial" w:eastAsia="Calibri" w:hAnsi="Arial" w:cs="Arial"/>
          <w:b/>
          <w:color w:val="000000"/>
          <w:sz w:val="24"/>
          <w:szCs w:val="24"/>
        </w:rPr>
        <w:t>.</w:t>
      </w:r>
    </w:p>
    <w:p w:rsidR="00400004" w:rsidRPr="00400004" w:rsidRDefault="00400004" w:rsidP="00400004">
      <w:pPr>
        <w:widowControl w:val="0"/>
        <w:numPr>
          <w:ilvl w:val="0"/>
          <w:numId w:val="3"/>
        </w:numPr>
        <w:pBdr>
          <w:left w:val="single" w:sz="4" w:space="4" w:color="auto"/>
        </w:pBdr>
        <w:autoSpaceDE w:val="0"/>
        <w:autoSpaceDN w:val="0"/>
        <w:adjustRightInd w:val="0"/>
        <w:spacing w:before="2" w:after="240" w:line="240" w:lineRule="auto"/>
        <w:ind w:left="851" w:right="186" w:hanging="709"/>
        <w:rPr>
          <w:rFonts w:ascii="Arial" w:hAnsi="Arial" w:cs="Arial"/>
          <w:b/>
          <w:sz w:val="24"/>
          <w:szCs w:val="24"/>
        </w:rPr>
      </w:pPr>
      <w:r w:rsidRPr="00400004">
        <w:rPr>
          <w:rFonts w:ascii="Arial" w:hAnsi="Arial" w:cs="Arial"/>
          <w:b/>
          <w:sz w:val="24"/>
          <w:szCs w:val="24"/>
        </w:rPr>
        <w:t>DAS ESPECIFICAÇÕES DO OBJETO:</w:t>
      </w:r>
    </w:p>
    <w:p w:rsidR="00400004" w:rsidRPr="00400004" w:rsidRDefault="00EA0FBF" w:rsidP="00400004">
      <w:pPr>
        <w:numPr>
          <w:ilvl w:val="1"/>
          <w:numId w:val="3"/>
        </w:numPr>
        <w:tabs>
          <w:tab w:val="left" w:pos="1134"/>
        </w:tabs>
        <w:spacing w:after="0" w:line="240" w:lineRule="auto"/>
        <w:ind w:left="0" w:firstLine="0"/>
        <w:jc w:val="both"/>
        <w:rPr>
          <w:rFonts w:ascii="Arial" w:hAnsi="Arial" w:cs="Arial"/>
          <w:sz w:val="24"/>
          <w:szCs w:val="24"/>
        </w:rPr>
      </w:pPr>
      <w:r>
        <w:rPr>
          <w:rFonts w:ascii="Arial" w:hAnsi="Arial" w:cs="Arial"/>
          <w:sz w:val="24"/>
          <w:szCs w:val="24"/>
        </w:rPr>
        <w:t>Todo</w:t>
      </w:r>
      <w:r w:rsidR="00400004" w:rsidRPr="00400004">
        <w:rPr>
          <w:rFonts w:ascii="Arial" w:hAnsi="Arial" w:cs="Arial"/>
          <w:sz w:val="24"/>
          <w:szCs w:val="24"/>
        </w:rPr>
        <w:t xml:space="preserve">s </w:t>
      </w:r>
      <w:r w:rsidR="003221B6">
        <w:rPr>
          <w:rFonts w:ascii="Arial" w:hAnsi="Arial" w:cs="Arial"/>
          <w:sz w:val="24"/>
          <w:szCs w:val="24"/>
        </w:rPr>
        <w:t>os produtos</w:t>
      </w:r>
      <w:r w:rsidR="00400004">
        <w:rPr>
          <w:rFonts w:ascii="Arial" w:hAnsi="Arial" w:cs="Arial"/>
          <w:sz w:val="24"/>
          <w:szCs w:val="24"/>
        </w:rPr>
        <w:t xml:space="preserve"> serão </w:t>
      </w:r>
      <w:r w:rsidR="003221B6">
        <w:rPr>
          <w:rFonts w:ascii="Arial" w:hAnsi="Arial" w:cs="Arial"/>
          <w:sz w:val="24"/>
          <w:szCs w:val="24"/>
        </w:rPr>
        <w:t>entregues</w:t>
      </w:r>
      <w:r w:rsidR="00400004" w:rsidRPr="00400004">
        <w:rPr>
          <w:rFonts w:ascii="Arial" w:hAnsi="Arial" w:cs="Arial"/>
          <w:sz w:val="24"/>
          <w:szCs w:val="24"/>
        </w:rPr>
        <w:t xml:space="preserve"> mediante a emissão de ordem de </w:t>
      </w:r>
      <w:r w:rsidR="003221B6">
        <w:rPr>
          <w:rFonts w:ascii="Arial" w:hAnsi="Arial" w:cs="Arial"/>
          <w:sz w:val="24"/>
          <w:szCs w:val="24"/>
        </w:rPr>
        <w:t>fornecimento.</w:t>
      </w:r>
    </w:p>
    <w:p w:rsidR="00400004" w:rsidRPr="00400004" w:rsidRDefault="00400004" w:rsidP="00400004">
      <w:pPr>
        <w:tabs>
          <w:tab w:val="left" w:pos="1134"/>
        </w:tabs>
        <w:jc w:val="both"/>
        <w:rPr>
          <w:rFonts w:ascii="Arial" w:hAnsi="Arial" w:cs="Arial"/>
          <w:sz w:val="24"/>
          <w:szCs w:val="24"/>
        </w:rPr>
      </w:pPr>
    </w:p>
    <w:p w:rsidR="00400004" w:rsidRPr="00400004" w:rsidRDefault="003221B6" w:rsidP="00400004">
      <w:pPr>
        <w:numPr>
          <w:ilvl w:val="1"/>
          <w:numId w:val="3"/>
        </w:numPr>
        <w:tabs>
          <w:tab w:val="left" w:pos="1134"/>
        </w:tabs>
        <w:spacing w:after="0" w:line="240" w:lineRule="auto"/>
        <w:ind w:left="0" w:firstLine="0"/>
        <w:jc w:val="both"/>
        <w:rPr>
          <w:rFonts w:ascii="Arial" w:hAnsi="Arial" w:cs="Arial"/>
          <w:sz w:val="24"/>
          <w:szCs w:val="24"/>
        </w:rPr>
      </w:pPr>
      <w:r>
        <w:rPr>
          <w:rFonts w:ascii="Arial" w:hAnsi="Arial" w:cs="Arial"/>
          <w:sz w:val="24"/>
          <w:szCs w:val="24"/>
        </w:rPr>
        <w:t>A contratada</w:t>
      </w:r>
      <w:r w:rsidR="00400004" w:rsidRPr="00400004">
        <w:rPr>
          <w:rFonts w:ascii="Arial" w:hAnsi="Arial" w:cs="Arial"/>
          <w:sz w:val="24"/>
          <w:szCs w:val="24"/>
        </w:rPr>
        <w:t xml:space="preserve"> terá o prazo máximo de </w:t>
      </w:r>
      <w:proofErr w:type="gramStart"/>
      <w:r w:rsidR="00400004" w:rsidRPr="00400004">
        <w:rPr>
          <w:rFonts w:ascii="Arial" w:hAnsi="Arial" w:cs="Arial"/>
          <w:sz w:val="24"/>
          <w:szCs w:val="24"/>
        </w:rPr>
        <w:t>2</w:t>
      </w:r>
      <w:proofErr w:type="gramEnd"/>
      <w:r w:rsidR="00400004" w:rsidRPr="00400004">
        <w:rPr>
          <w:rFonts w:ascii="Arial" w:hAnsi="Arial" w:cs="Arial"/>
          <w:sz w:val="24"/>
          <w:szCs w:val="24"/>
        </w:rPr>
        <w:t xml:space="preserve"> (dois) dias uteis para </w:t>
      </w:r>
      <w:r w:rsidR="00400004">
        <w:rPr>
          <w:rFonts w:ascii="Arial" w:hAnsi="Arial" w:cs="Arial"/>
          <w:sz w:val="24"/>
          <w:szCs w:val="24"/>
        </w:rPr>
        <w:t xml:space="preserve">o inicio da </w:t>
      </w:r>
      <w:r>
        <w:rPr>
          <w:rFonts w:ascii="Arial" w:hAnsi="Arial" w:cs="Arial"/>
          <w:sz w:val="24"/>
          <w:szCs w:val="24"/>
        </w:rPr>
        <w:t>entrega dos produtos</w:t>
      </w:r>
      <w:r w:rsidR="00400004" w:rsidRPr="00400004">
        <w:rPr>
          <w:rFonts w:ascii="Arial" w:hAnsi="Arial" w:cs="Arial"/>
          <w:sz w:val="24"/>
          <w:szCs w:val="24"/>
        </w:rPr>
        <w:t xml:space="preserve">, após a data de recebimento da ordem de </w:t>
      </w:r>
      <w:r>
        <w:rPr>
          <w:rFonts w:ascii="Arial" w:hAnsi="Arial" w:cs="Arial"/>
          <w:sz w:val="24"/>
          <w:szCs w:val="24"/>
        </w:rPr>
        <w:t>fornecimento</w:t>
      </w:r>
      <w:r w:rsidR="00400004" w:rsidRPr="00400004">
        <w:rPr>
          <w:rFonts w:ascii="Arial" w:hAnsi="Arial" w:cs="Arial"/>
          <w:sz w:val="24"/>
          <w:szCs w:val="24"/>
        </w:rPr>
        <w:t xml:space="preserve">, caso não consiga efetuar a </w:t>
      </w:r>
      <w:r w:rsidR="00EA7A1F">
        <w:rPr>
          <w:rFonts w:ascii="Arial" w:hAnsi="Arial" w:cs="Arial"/>
          <w:sz w:val="24"/>
          <w:szCs w:val="24"/>
        </w:rPr>
        <w:t xml:space="preserve">entrega dentro </w:t>
      </w:r>
      <w:r w:rsidR="00400004" w:rsidRPr="00400004">
        <w:rPr>
          <w:rFonts w:ascii="Arial" w:hAnsi="Arial" w:cs="Arial"/>
          <w:sz w:val="24"/>
          <w:szCs w:val="24"/>
        </w:rPr>
        <w:t>do prazo deverá mandar justificativa por escrito, podendo ou não ser acatada pela administração.</w:t>
      </w:r>
    </w:p>
    <w:p w:rsidR="00400004" w:rsidRPr="00400004" w:rsidRDefault="00400004" w:rsidP="00400004">
      <w:pPr>
        <w:jc w:val="both"/>
        <w:rPr>
          <w:rFonts w:cs="Arial"/>
          <w:sz w:val="24"/>
          <w:szCs w:val="24"/>
        </w:rPr>
      </w:pPr>
    </w:p>
    <w:p w:rsidR="00400004" w:rsidRPr="00400004" w:rsidRDefault="00400004" w:rsidP="00400004">
      <w:pPr>
        <w:widowControl w:val="0"/>
        <w:numPr>
          <w:ilvl w:val="0"/>
          <w:numId w:val="3"/>
        </w:numPr>
        <w:pBdr>
          <w:left w:val="single" w:sz="4" w:space="4" w:color="auto"/>
        </w:pBdr>
        <w:autoSpaceDE w:val="0"/>
        <w:autoSpaceDN w:val="0"/>
        <w:adjustRightInd w:val="0"/>
        <w:spacing w:before="2" w:after="240" w:line="240" w:lineRule="auto"/>
        <w:ind w:left="851" w:right="186" w:hanging="709"/>
        <w:rPr>
          <w:rFonts w:ascii="Arial" w:hAnsi="Arial" w:cs="Arial"/>
          <w:b/>
          <w:sz w:val="24"/>
          <w:szCs w:val="24"/>
        </w:rPr>
      </w:pPr>
      <w:r w:rsidRPr="00400004">
        <w:rPr>
          <w:rFonts w:ascii="Arial" w:hAnsi="Arial" w:cs="Arial"/>
          <w:b/>
          <w:sz w:val="24"/>
          <w:szCs w:val="24"/>
        </w:rPr>
        <w:t>DA JUSTIFICATIVA</w:t>
      </w:r>
    </w:p>
    <w:p w:rsidR="00EA0FBF" w:rsidRDefault="00C6265E" w:rsidP="00EA0FBF">
      <w:pPr>
        <w:pStyle w:val="Default"/>
        <w:jc w:val="both"/>
      </w:pPr>
      <w:r>
        <w:rPr>
          <w:rFonts w:eastAsiaTheme="minorHAnsi"/>
          <w:color w:val="000000" w:themeColor="text1"/>
          <w:lang w:eastAsia="en-US"/>
        </w:rPr>
        <w:t xml:space="preserve">3.1    </w:t>
      </w:r>
      <w:r w:rsidRPr="00EA0FBF">
        <w:rPr>
          <w:rFonts w:eastAsiaTheme="minorHAnsi"/>
          <w:color w:val="000000" w:themeColor="text1"/>
          <w:lang w:eastAsia="en-US"/>
        </w:rPr>
        <w:t xml:space="preserve">  </w:t>
      </w:r>
      <w:r w:rsidR="00EA7A1F">
        <w:t>Primeiramente</w:t>
      </w:r>
      <w:proofErr w:type="gramStart"/>
      <w:r w:rsidR="00EA7A1F">
        <w:t>, vale</w:t>
      </w:r>
      <w:proofErr w:type="gramEnd"/>
      <w:r w:rsidR="00EA7A1F">
        <w:t xml:space="preserve"> frisar que a aquisição de itens se justifica face ao interesse público de manter os serviços da administração pública em níveis aceitáveis para oferecer aos usuários da administração pública municipal.</w:t>
      </w:r>
    </w:p>
    <w:p w:rsidR="00EA7A1F" w:rsidRDefault="00EA7A1F" w:rsidP="00EA0FBF">
      <w:pPr>
        <w:pStyle w:val="Default"/>
        <w:jc w:val="both"/>
      </w:pPr>
    </w:p>
    <w:p w:rsidR="00EA7A1F" w:rsidRDefault="00EA7A1F" w:rsidP="00EA0FBF">
      <w:pPr>
        <w:pStyle w:val="Default"/>
        <w:jc w:val="both"/>
      </w:pPr>
      <w:r>
        <w:t>3.2</w:t>
      </w:r>
      <w:r>
        <w:tab/>
        <w:t xml:space="preserve">Assim sendo, a motivação para licitar material de limpeza e higiene, a finalidade de atender às necessidades da Secretaria Municipal de Assistência Social e demais órgãos que compõem a esfera municipal, para o exercício de 2023. Pois, os materiais são </w:t>
      </w:r>
      <w:proofErr w:type="gramStart"/>
      <w:r>
        <w:t>necessários/básicos</w:t>
      </w:r>
      <w:proofErr w:type="gramEnd"/>
      <w:r>
        <w:t xml:space="preserve"> dentro dos vetores, para manutenção das atividades cotidiana dos órgãos que compõe a esfera administrativa do ente municipal, bem como, manutenção dos programas da secretaria municipal de assistência social. Sem o qual poderá prejudicar as atividades que são desenvolvidas, pois em sua maioria </w:t>
      </w:r>
      <w:proofErr w:type="gramStart"/>
      <w:r>
        <w:t>são</w:t>
      </w:r>
      <w:proofErr w:type="gramEnd"/>
      <w:r>
        <w:t xml:space="preserve"> utilizadas para dar agilidade aos processos administrativos dentro das unidades, a aquisição dos referidos materiais é fundamental para o bom funcionamento das unidades.</w:t>
      </w:r>
    </w:p>
    <w:p w:rsidR="00EA7A1F" w:rsidRDefault="00EA7A1F" w:rsidP="00EA0FBF">
      <w:pPr>
        <w:pStyle w:val="Default"/>
        <w:jc w:val="both"/>
      </w:pPr>
    </w:p>
    <w:p w:rsidR="00EA7A1F" w:rsidRDefault="00EA7A1F" w:rsidP="00EA0FBF">
      <w:pPr>
        <w:pStyle w:val="Default"/>
        <w:jc w:val="both"/>
        <w:rPr>
          <w:sz w:val="22"/>
          <w:szCs w:val="22"/>
        </w:rPr>
      </w:pPr>
      <w:r>
        <w:t>3.3</w:t>
      </w:r>
      <w:r>
        <w:tab/>
        <w:t xml:space="preserve">Registre-se que a aquisição se justifica ainda, </w:t>
      </w:r>
      <w:r w:rsidR="0006247F">
        <w:t>pela necessidade</w:t>
      </w:r>
      <w:r>
        <w:t xml:space="preserve"> de reposição do estoque de materiais do almoxarifado, sem a qual poderá prejudicar as atividades desenvolvidas pela administração pública municipal. O que justifica a necessidade da realização da licitação para o referido objeto.</w:t>
      </w:r>
    </w:p>
    <w:p w:rsidR="00C6265E" w:rsidRPr="00C6265E" w:rsidRDefault="00C6265E" w:rsidP="00C6265E">
      <w:pPr>
        <w:spacing w:line="360" w:lineRule="auto"/>
        <w:jc w:val="both"/>
        <w:rPr>
          <w:rFonts w:ascii="Arial" w:eastAsiaTheme="minorHAnsi" w:hAnsi="Arial" w:cs="Arial"/>
          <w:color w:val="000000" w:themeColor="text1"/>
          <w:sz w:val="24"/>
          <w:szCs w:val="24"/>
          <w:lang w:eastAsia="en-US"/>
        </w:rPr>
      </w:pPr>
    </w:p>
    <w:p w:rsidR="00400004" w:rsidRPr="00400004" w:rsidRDefault="00400004" w:rsidP="00400004">
      <w:pPr>
        <w:widowControl w:val="0"/>
        <w:numPr>
          <w:ilvl w:val="0"/>
          <w:numId w:val="3"/>
        </w:numPr>
        <w:pBdr>
          <w:left w:val="single" w:sz="4" w:space="4" w:color="auto"/>
        </w:pBdr>
        <w:autoSpaceDE w:val="0"/>
        <w:autoSpaceDN w:val="0"/>
        <w:adjustRightInd w:val="0"/>
        <w:spacing w:before="2" w:after="0" w:line="240" w:lineRule="auto"/>
        <w:ind w:left="851" w:right="186" w:hanging="709"/>
        <w:rPr>
          <w:rFonts w:ascii="Arial" w:hAnsi="Arial" w:cs="Arial"/>
          <w:b/>
          <w:sz w:val="24"/>
          <w:szCs w:val="24"/>
        </w:rPr>
      </w:pPr>
      <w:r w:rsidRPr="00400004">
        <w:rPr>
          <w:rFonts w:ascii="Arial" w:hAnsi="Arial" w:cs="Arial"/>
          <w:b/>
          <w:sz w:val="24"/>
          <w:szCs w:val="24"/>
        </w:rPr>
        <w:t>FUNDAMENTO LEGAL</w:t>
      </w:r>
    </w:p>
    <w:p w:rsidR="00400004" w:rsidRPr="00400004" w:rsidRDefault="00400004" w:rsidP="00400004">
      <w:pPr>
        <w:autoSpaceDE w:val="0"/>
        <w:autoSpaceDN w:val="0"/>
        <w:adjustRightInd w:val="0"/>
        <w:jc w:val="both"/>
        <w:rPr>
          <w:rFonts w:ascii="Arial" w:hAnsi="Arial" w:cs="Arial"/>
          <w:sz w:val="24"/>
          <w:szCs w:val="24"/>
        </w:rPr>
      </w:pPr>
    </w:p>
    <w:p w:rsidR="00400004" w:rsidRPr="00400004" w:rsidRDefault="00400004" w:rsidP="00400004">
      <w:pPr>
        <w:numPr>
          <w:ilvl w:val="1"/>
          <w:numId w:val="3"/>
        </w:numPr>
        <w:tabs>
          <w:tab w:val="left" w:pos="1134"/>
        </w:tabs>
        <w:spacing w:after="0" w:line="240" w:lineRule="auto"/>
        <w:ind w:left="0" w:firstLine="0"/>
        <w:jc w:val="both"/>
        <w:rPr>
          <w:rFonts w:ascii="Arial" w:hAnsi="Arial" w:cs="Arial"/>
          <w:sz w:val="24"/>
          <w:szCs w:val="24"/>
        </w:rPr>
      </w:pPr>
      <w:r w:rsidRPr="00400004">
        <w:rPr>
          <w:rFonts w:ascii="Arial" w:hAnsi="Arial" w:cs="Arial"/>
          <w:sz w:val="24"/>
          <w:szCs w:val="24"/>
        </w:rPr>
        <w:t>Lei federal de 14.133/21 de 01 de abril de 2021.</w:t>
      </w:r>
    </w:p>
    <w:p w:rsidR="00400004" w:rsidRPr="00400004" w:rsidRDefault="00400004" w:rsidP="00400004">
      <w:pPr>
        <w:tabs>
          <w:tab w:val="left" w:pos="1134"/>
        </w:tabs>
        <w:jc w:val="both"/>
        <w:rPr>
          <w:rFonts w:ascii="Arial" w:hAnsi="Arial" w:cs="Arial"/>
          <w:sz w:val="24"/>
          <w:szCs w:val="24"/>
        </w:rPr>
      </w:pPr>
    </w:p>
    <w:p w:rsidR="00400004" w:rsidRPr="00400004" w:rsidRDefault="00400004" w:rsidP="00400004">
      <w:pPr>
        <w:tabs>
          <w:tab w:val="left" w:pos="1134"/>
        </w:tabs>
        <w:ind w:left="2835"/>
        <w:jc w:val="both"/>
        <w:rPr>
          <w:rFonts w:ascii="Arial" w:hAnsi="Arial" w:cs="Arial"/>
          <w:b/>
          <w:bCs/>
          <w:i/>
          <w:iCs/>
          <w:sz w:val="24"/>
          <w:szCs w:val="24"/>
        </w:rPr>
      </w:pPr>
      <w:r w:rsidRPr="00400004">
        <w:rPr>
          <w:rFonts w:ascii="Arial" w:hAnsi="Arial" w:cs="Arial"/>
          <w:b/>
          <w:bCs/>
          <w:i/>
          <w:iCs/>
          <w:sz w:val="24"/>
          <w:szCs w:val="24"/>
        </w:rPr>
        <w:t>Lei federal de 14.133/21 de 01 de abril de 2021.</w:t>
      </w:r>
    </w:p>
    <w:p w:rsidR="00400004" w:rsidRPr="00400004" w:rsidRDefault="00400004" w:rsidP="00400004">
      <w:pPr>
        <w:tabs>
          <w:tab w:val="left" w:pos="1134"/>
        </w:tabs>
        <w:ind w:left="2835"/>
        <w:jc w:val="both"/>
        <w:rPr>
          <w:rFonts w:ascii="Arial" w:hAnsi="Arial" w:cs="Arial"/>
          <w:sz w:val="24"/>
          <w:szCs w:val="24"/>
        </w:rPr>
      </w:pPr>
      <w:r w:rsidRPr="00400004">
        <w:rPr>
          <w:rFonts w:ascii="Arial" w:hAnsi="Arial" w:cs="Arial"/>
          <w:sz w:val="24"/>
          <w:szCs w:val="24"/>
        </w:rPr>
        <w:t>Artigo 75. É dispensável a licitação:</w:t>
      </w:r>
    </w:p>
    <w:p w:rsidR="00400004" w:rsidRPr="0009199A" w:rsidRDefault="00EA0FBF" w:rsidP="00400004">
      <w:pPr>
        <w:tabs>
          <w:tab w:val="left" w:pos="1134"/>
        </w:tabs>
        <w:ind w:left="2835"/>
        <w:jc w:val="both"/>
        <w:rPr>
          <w:rFonts w:ascii="Arial" w:hAnsi="Arial" w:cs="Arial"/>
          <w:sz w:val="24"/>
          <w:szCs w:val="24"/>
        </w:rPr>
      </w:pPr>
      <w:bookmarkStart w:id="0" w:name="art75i"/>
      <w:bookmarkStart w:id="1" w:name="art75ii"/>
      <w:bookmarkEnd w:id="0"/>
      <w:bookmarkEnd w:id="1"/>
      <w:r w:rsidRPr="0009199A">
        <w:rPr>
          <w:rFonts w:ascii="Arial" w:hAnsi="Arial" w:cs="Arial"/>
          <w:b/>
          <w:bCs/>
          <w:sz w:val="24"/>
          <w:szCs w:val="24"/>
        </w:rPr>
        <w:t>I</w:t>
      </w:r>
      <w:r w:rsidR="0009199A" w:rsidRPr="0009199A">
        <w:rPr>
          <w:rFonts w:ascii="Arial" w:hAnsi="Arial" w:cs="Arial"/>
          <w:b/>
          <w:bCs/>
          <w:sz w:val="24"/>
          <w:szCs w:val="24"/>
        </w:rPr>
        <w:t>I</w:t>
      </w:r>
      <w:r w:rsidR="00400004" w:rsidRPr="0009199A">
        <w:rPr>
          <w:rFonts w:ascii="Arial" w:hAnsi="Arial" w:cs="Arial"/>
          <w:sz w:val="24"/>
          <w:szCs w:val="24"/>
        </w:rPr>
        <w:t xml:space="preserve"> - </w:t>
      </w:r>
      <w:r w:rsidR="00A22631">
        <w:rPr>
          <w:rFonts w:ascii="Arial" w:hAnsi="Arial" w:cs="Arial"/>
          <w:sz w:val="24"/>
          <w:szCs w:val="24"/>
          <w:shd w:val="clear" w:color="auto" w:fill="FFFFFF"/>
        </w:rPr>
        <w:t>P</w:t>
      </w:r>
      <w:r w:rsidR="0009199A" w:rsidRPr="0009199A">
        <w:rPr>
          <w:rFonts w:ascii="Arial" w:hAnsi="Arial" w:cs="Arial"/>
          <w:sz w:val="24"/>
          <w:szCs w:val="24"/>
          <w:shd w:val="clear" w:color="auto" w:fill="FFFFFF"/>
        </w:rPr>
        <w:t xml:space="preserve">ara contratação que envolva valores inferiores a R$ </w:t>
      </w:r>
      <w:r w:rsidR="00A22631">
        <w:rPr>
          <w:rFonts w:ascii="Arial" w:hAnsi="Arial" w:cs="Arial"/>
          <w:sz w:val="24"/>
          <w:szCs w:val="24"/>
          <w:shd w:val="clear" w:color="auto" w:fill="FFFFFF"/>
        </w:rPr>
        <w:t>57.208,33</w:t>
      </w:r>
      <w:r w:rsidR="0009199A" w:rsidRPr="0009199A">
        <w:rPr>
          <w:rFonts w:ascii="Arial" w:hAnsi="Arial" w:cs="Arial"/>
          <w:sz w:val="24"/>
          <w:szCs w:val="24"/>
          <w:shd w:val="clear" w:color="auto" w:fill="FFFFFF"/>
        </w:rPr>
        <w:t xml:space="preserve"> (cinquenta</w:t>
      </w:r>
      <w:r w:rsidR="00A22631">
        <w:rPr>
          <w:rFonts w:ascii="Arial" w:hAnsi="Arial" w:cs="Arial"/>
          <w:sz w:val="24"/>
          <w:szCs w:val="24"/>
          <w:shd w:val="clear" w:color="auto" w:fill="FFFFFF"/>
        </w:rPr>
        <w:t xml:space="preserve"> e sete mil duzentos e oito reais e trinta e três</w:t>
      </w:r>
      <w:r w:rsidR="0009199A" w:rsidRPr="0009199A">
        <w:rPr>
          <w:rFonts w:ascii="Arial" w:hAnsi="Arial" w:cs="Arial"/>
          <w:sz w:val="24"/>
          <w:szCs w:val="24"/>
          <w:shd w:val="clear" w:color="auto" w:fill="FFFFFF"/>
        </w:rPr>
        <w:t xml:space="preserve"> </w:t>
      </w:r>
      <w:r w:rsidR="00A22631">
        <w:rPr>
          <w:rFonts w:ascii="Arial" w:hAnsi="Arial" w:cs="Arial"/>
          <w:sz w:val="24"/>
          <w:szCs w:val="24"/>
          <w:shd w:val="clear" w:color="auto" w:fill="FFFFFF"/>
        </w:rPr>
        <w:t>centavos</w:t>
      </w:r>
      <w:r w:rsidR="0009199A" w:rsidRPr="0009199A">
        <w:rPr>
          <w:rFonts w:ascii="Arial" w:hAnsi="Arial" w:cs="Arial"/>
          <w:sz w:val="24"/>
          <w:szCs w:val="24"/>
          <w:shd w:val="clear" w:color="auto" w:fill="FFFFFF"/>
        </w:rPr>
        <w:t>), no caso de outros serviços e compras</w:t>
      </w:r>
      <w:r w:rsidR="00400004" w:rsidRPr="0009199A">
        <w:rPr>
          <w:rFonts w:ascii="Arial" w:hAnsi="Arial" w:cs="Arial"/>
          <w:sz w:val="24"/>
          <w:szCs w:val="24"/>
        </w:rPr>
        <w:t>;</w:t>
      </w:r>
    </w:p>
    <w:p w:rsidR="00400004" w:rsidRPr="00400004" w:rsidRDefault="00400004" w:rsidP="00400004">
      <w:pPr>
        <w:tabs>
          <w:tab w:val="left" w:pos="1134"/>
        </w:tabs>
        <w:ind w:left="2835"/>
        <w:jc w:val="both"/>
        <w:rPr>
          <w:rFonts w:ascii="Arial" w:hAnsi="Arial" w:cs="Arial"/>
          <w:sz w:val="24"/>
          <w:szCs w:val="24"/>
        </w:rPr>
      </w:pPr>
      <w:r w:rsidRPr="00400004">
        <w:rPr>
          <w:rFonts w:ascii="Arial" w:hAnsi="Arial" w:cs="Arial"/>
          <w:b/>
          <w:bCs/>
          <w:sz w:val="24"/>
          <w:szCs w:val="24"/>
        </w:rPr>
        <w:t>§ 3º</w:t>
      </w:r>
      <w:r w:rsidRPr="00400004">
        <w:rPr>
          <w:rFonts w:ascii="Arial" w:hAnsi="Arial" w:cs="Arial"/>
          <w:sz w:val="24"/>
          <w:szCs w:val="24"/>
        </w:rPr>
        <w:t xml:space="preserve"> As contratações de que tratam os incisos I e II do caput deste artigo serão preferencialmente precedidas de divulgação de aviso em sítio eletrônico oficial, pelo prazo mínimo de </w:t>
      </w:r>
      <w:proofErr w:type="gramStart"/>
      <w:r w:rsidRPr="00400004">
        <w:rPr>
          <w:rFonts w:ascii="Arial" w:hAnsi="Arial" w:cs="Arial"/>
          <w:sz w:val="24"/>
          <w:szCs w:val="24"/>
        </w:rPr>
        <w:t>3</w:t>
      </w:r>
      <w:proofErr w:type="gramEnd"/>
      <w:r w:rsidRPr="00400004">
        <w:rPr>
          <w:rFonts w:ascii="Arial" w:hAnsi="Arial" w:cs="Arial"/>
          <w:sz w:val="24"/>
          <w:szCs w:val="24"/>
        </w:rPr>
        <w:t xml:space="preserve"> (três) dias úteis, com a especificação do objeto pretendido e com a manifestação de interesse da Administração em obter propostas adicionais de eventuais interessados, devendo ser selecionada a proposta mais vantajosa.</w:t>
      </w:r>
    </w:p>
    <w:p w:rsidR="00400004" w:rsidRPr="00400004" w:rsidRDefault="00400004" w:rsidP="00400004">
      <w:pPr>
        <w:autoSpaceDE w:val="0"/>
        <w:autoSpaceDN w:val="0"/>
        <w:adjustRightInd w:val="0"/>
        <w:jc w:val="both"/>
        <w:rPr>
          <w:rFonts w:ascii="Arial" w:hAnsi="Arial" w:cs="Arial"/>
          <w:sz w:val="24"/>
          <w:szCs w:val="24"/>
        </w:rPr>
      </w:pPr>
    </w:p>
    <w:p w:rsidR="00400004" w:rsidRPr="00400004" w:rsidRDefault="00400004" w:rsidP="00400004">
      <w:pPr>
        <w:widowControl w:val="0"/>
        <w:numPr>
          <w:ilvl w:val="0"/>
          <w:numId w:val="3"/>
        </w:numPr>
        <w:pBdr>
          <w:left w:val="single" w:sz="4" w:space="4" w:color="auto"/>
        </w:pBdr>
        <w:autoSpaceDE w:val="0"/>
        <w:autoSpaceDN w:val="0"/>
        <w:adjustRightInd w:val="0"/>
        <w:spacing w:before="2" w:after="0" w:line="240" w:lineRule="auto"/>
        <w:ind w:left="851" w:right="186" w:hanging="709"/>
        <w:rPr>
          <w:rFonts w:ascii="Arial" w:hAnsi="Arial" w:cs="Arial"/>
          <w:b/>
          <w:sz w:val="24"/>
          <w:szCs w:val="24"/>
        </w:rPr>
      </w:pPr>
      <w:r w:rsidRPr="00400004">
        <w:rPr>
          <w:rFonts w:ascii="Arial" w:hAnsi="Arial" w:cs="Arial"/>
          <w:b/>
          <w:sz w:val="24"/>
          <w:szCs w:val="24"/>
        </w:rPr>
        <w:t xml:space="preserve">DAS ESPECIFICAÇÕES, </w:t>
      </w:r>
      <w:r w:rsidR="00006697" w:rsidRPr="00400004">
        <w:rPr>
          <w:rFonts w:ascii="Arial" w:hAnsi="Arial" w:cs="Arial"/>
          <w:b/>
          <w:sz w:val="24"/>
          <w:szCs w:val="24"/>
        </w:rPr>
        <w:t>QUANTIDADES.</w:t>
      </w:r>
    </w:p>
    <w:p w:rsidR="00400004" w:rsidRPr="00400004" w:rsidRDefault="00400004" w:rsidP="00400004">
      <w:pPr>
        <w:autoSpaceDE w:val="0"/>
        <w:autoSpaceDN w:val="0"/>
        <w:adjustRightInd w:val="0"/>
        <w:jc w:val="both"/>
        <w:rPr>
          <w:rFonts w:ascii="Arial" w:hAnsi="Arial" w:cs="Arial"/>
          <w:b/>
          <w:sz w:val="24"/>
          <w:szCs w:val="24"/>
        </w:rPr>
      </w:pPr>
    </w:p>
    <w:p w:rsidR="00400004" w:rsidRDefault="00400004" w:rsidP="00400004">
      <w:pPr>
        <w:numPr>
          <w:ilvl w:val="1"/>
          <w:numId w:val="3"/>
        </w:numPr>
        <w:tabs>
          <w:tab w:val="left" w:pos="1134"/>
        </w:tabs>
        <w:spacing w:after="0" w:line="240" w:lineRule="auto"/>
        <w:ind w:left="0" w:firstLine="0"/>
        <w:jc w:val="both"/>
        <w:rPr>
          <w:rFonts w:ascii="Arial" w:hAnsi="Arial" w:cs="Arial"/>
          <w:sz w:val="24"/>
          <w:szCs w:val="24"/>
        </w:rPr>
      </w:pPr>
      <w:r w:rsidRPr="00400004">
        <w:rPr>
          <w:rFonts w:ascii="Arial" w:hAnsi="Arial" w:cs="Arial"/>
          <w:sz w:val="24"/>
          <w:szCs w:val="24"/>
        </w:rPr>
        <w:t xml:space="preserve">As especificações estão em conformidade com as quantidades e descrições </w:t>
      </w:r>
      <w:r w:rsidR="00495DEC" w:rsidRPr="00400004">
        <w:rPr>
          <w:rFonts w:ascii="Arial" w:hAnsi="Arial" w:cs="Arial"/>
          <w:sz w:val="24"/>
          <w:szCs w:val="24"/>
        </w:rPr>
        <w:t>seguintes</w:t>
      </w:r>
      <w:r w:rsidRPr="00400004">
        <w:rPr>
          <w:rFonts w:ascii="Arial" w:hAnsi="Arial" w:cs="Arial"/>
          <w:sz w:val="24"/>
          <w:szCs w:val="24"/>
        </w:rPr>
        <w:t>:</w:t>
      </w:r>
    </w:p>
    <w:p w:rsidR="00E70BF0" w:rsidRDefault="00E70BF0" w:rsidP="00E70BF0">
      <w:pPr>
        <w:tabs>
          <w:tab w:val="left" w:pos="1134"/>
        </w:tabs>
        <w:spacing w:after="0" w:line="240" w:lineRule="auto"/>
        <w:jc w:val="both"/>
        <w:rPr>
          <w:rFonts w:ascii="Arial" w:hAnsi="Arial" w:cs="Arial"/>
          <w:sz w:val="24"/>
          <w:szCs w:val="24"/>
        </w:rPr>
      </w:pPr>
    </w:p>
    <w:tbl>
      <w:tblPr>
        <w:tblW w:w="947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4160"/>
        <w:gridCol w:w="1057"/>
        <w:gridCol w:w="984"/>
        <w:gridCol w:w="1302"/>
        <w:gridCol w:w="1302"/>
      </w:tblGrid>
      <w:tr w:rsidR="00E70BF0" w:rsidRPr="00E70BF0" w:rsidTr="00A22631">
        <w:trPr>
          <w:trHeight w:val="300"/>
        </w:trPr>
        <w:tc>
          <w:tcPr>
            <w:tcW w:w="666" w:type="dxa"/>
            <w:shd w:val="clear" w:color="000000" w:fill="D9D9D9"/>
            <w:noWrap/>
            <w:vAlign w:val="center"/>
            <w:hideMark/>
          </w:tcPr>
          <w:p w:rsidR="00E70BF0" w:rsidRPr="00E70BF0" w:rsidRDefault="00E70BF0"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ITEM</w:t>
            </w:r>
          </w:p>
        </w:tc>
        <w:tc>
          <w:tcPr>
            <w:tcW w:w="4160" w:type="dxa"/>
            <w:shd w:val="clear" w:color="000000" w:fill="D9D9D9"/>
            <w:noWrap/>
            <w:vAlign w:val="center"/>
            <w:hideMark/>
          </w:tcPr>
          <w:p w:rsidR="00E70BF0" w:rsidRPr="00E70BF0" w:rsidRDefault="00E70BF0"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DESCRIÇÃO</w:t>
            </w:r>
          </w:p>
        </w:tc>
        <w:tc>
          <w:tcPr>
            <w:tcW w:w="1057" w:type="dxa"/>
            <w:shd w:val="clear" w:color="000000" w:fill="D0CECE"/>
            <w:vAlign w:val="center"/>
            <w:hideMark/>
          </w:tcPr>
          <w:p w:rsidR="00E70BF0" w:rsidRPr="00E70BF0" w:rsidRDefault="00E70BF0"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000000" w:fill="D0CECE"/>
            <w:noWrap/>
            <w:vAlign w:val="center"/>
            <w:hideMark/>
          </w:tcPr>
          <w:p w:rsidR="00E70BF0" w:rsidRPr="00E70BF0" w:rsidRDefault="00E70BF0"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 xml:space="preserve">QUANT. </w:t>
            </w:r>
          </w:p>
        </w:tc>
        <w:tc>
          <w:tcPr>
            <w:tcW w:w="1302" w:type="dxa"/>
            <w:shd w:val="clear" w:color="000000" w:fill="D0CECE"/>
            <w:noWrap/>
            <w:vAlign w:val="center"/>
            <w:hideMark/>
          </w:tcPr>
          <w:p w:rsidR="00E70BF0" w:rsidRPr="00E70BF0" w:rsidRDefault="00E70BF0"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 xml:space="preserve"> V. UNIT. ESTIMADO</w:t>
            </w:r>
          </w:p>
        </w:tc>
        <w:tc>
          <w:tcPr>
            <w:tcW w:w="1302" w:type="dxa"/>
            <w:shd w:val="clear" w:color="000000" w:fill="D0CECE"/>
            <w:noWrap/>
            <w:vAlign w:val="center"/>
            <w:hideMark/>
          </w:tcPr>
          <w:p w:rsidR="00E70BF0" w:rsidRPr="00E70BF0" w:rsidRDefault="00E70BF0"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  V. TOTAL ESTIMADO</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proofErr w:type="gramStart"/>
            <w:r w:rsidRPr="00E70BF0">
              <w:rPr>
                <w:rFonts w:ascii="Arial" w:eastAsia="Times New Roman" w:hAnsi="Arial" w:cs="Arial"/>
                <w:color w:val="000000"/>
                <w:szCs w:val="24"/>
              </w:rPr>
              <w:t>1</w:t>
            </w:r>
            <w:proofErr w:type="gramEnd"/>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AGUA SANITARIA EMBALAGEM PLASTICA 12X1 LT</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CX</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30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42,25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1.267,50 </w:t>
            </w:r>
          </w:p>
        </w:tc>
      </w:tr>
      <w:tr w:rsidR="00A22631" w:rsidRPr="00E70BF0" w:rsidTr="00A22631">
        <w:trPr>
          <w:trHeight w:val="66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proofErr w:type="gramStart"/>
            <w:r w:rsidRPr="00E70BF0">
              <w:rPr>
                <w:rFonts w:ascii="Arial" w:eastAsia="Times New Roman" w:hAnsi="Arial" w:cs="Arial"/>
                <w:color w:val="000000"/>
                <w:szCs w:val="24"/>
              </w:rPr>
              <w:t>2</w:t>
            </w:r>
            <w:proofErr w:type="gramEnd"/>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ALCOOL GEL 70 INPM MULTIUSO 500G CAIXA COM 12X500G</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CX</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15</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117,00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1.755,00 </w:t>
            </w:r>
          </w:p>
        </w:tc>
      </w:tr>
      <w:tr w:rsidR="00A22631" w:rsidRPr="00E70BF0" w:rsidTr="00A22631">
        <w:trPr>
          <w:trHeight w:val="555"/>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proofErr w:type="gramStart"/>
            <w:r w:rsidRPr="00E70BF0">
              <w:rPr>
                <w:rFonts w:ascii="Arial" w:eastAsia="Times New Roman" w:hAnsi="Arial" w:cs="Arial"/>
                <w:color w:val="000000"/>
                <w:szCs w:val="24"/>
              </w:rPr>
              <w:t>3</w:t>
            </w:r>
            <w:proofErr w:type="gramEnd"/>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ALCOOL ETILICO HIDRATADO 70 INPM 1L CX COM 12X1</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CX</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147,33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2.946,67 </w:t>
            </w:r>
          </w:p>
        </w:tc>
      </w:tr>
      <w:tr w:rsidR="00A22631" w:rsidRPr="00E70BF0" w:rsidTr="00A22631">
        <w:trPr>
          <w:trHeight w:val="36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proofErr w:type="gramStart"/>
            <w:r w:rsidRPr="00E70BF0">
              <w:rPr>
                <w:rFonts w:ascii="Arial" w:eastAsia="Times New Roman" w:hAnsi="Arial" w:cs="Arial"/>
                <w:color w:val="000000"/>
                <w:szCs w:val="24"/>
              </w:rPr>
              <w:t>4</w:t>
            </w:r>
            <w:proofErr w:type="gramEnd"/>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AMACIANTE 02 LITROS</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15</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6,50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97,50 </w:t>
            </w:r>
          </w:p>
        </w:tc>
      </w:tr>
      <w:tr w:rsidR="00A22631" w:rsidRPr="00E70BF0" w:rsidTr="00A22631">
        <w:trPr>
          <w:trHeight w:val="36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proofErr w:type="gramStart"/>
            <w:r w:rsidRPr="00E70BF0">
              <w:rPr>
                <w:rFonts w:ascii="Arial" w:eastAsia="Times New Roman" w:hAnsi="Arial" w:cs="Arial"/>
                <w:color w:val="000000"/>
                <w:szCs w:val="24"/>
              </w:rPr>
              <w:lastRenderedPageBreak/>
              <w:t>5</w:t>
            </w:r>
            <w:proofErr w:type="gramEnd"/>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AROMATIZANTE DE AMBIENTE </w:t>
            </w:r>
            <w:proofErr w:type="gramStart"/>
            <w:r w:rsidRPr="00E70BF0">
              <w:rPr>
                <w:rFonts w:ascii="Arial" w:eastAsia="Times New Roman" w:hAnsi="Arial" w:cs="Arial"/>
                <w:b/>
                <w:bCs/>
                <w:color w:val="000000"/>
                <w:szCs w:val="24"/>
              </w:rPr>
              <w:t>370ML</w:t>
            </w:r>
            <w:proofErr w:type="gramEnd"/>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60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9,74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584,40 </w:t>
            </w:r>
          </w:p>
        </w:tc>
      </w:tr>
      <w:tr w:rsidR="00A22631" w:rsidRPr="00E70BF0" w:rsidTr="00A22631">
        <w:trPr>
          <w:trHeight w:val="57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proofErr w:type="gramStart"/>
            <w:r w:rsidRPr="00E70BF0">
              <w:rPr>
                <w:rFonts w:ascii="Arial" w:eastAsia="Times New Roman" w:hAnsi="Arial" w:cs="Arial"/>
                <w:color w:val="000000"/>
                <w:szCs w:val="24"/>
              </w:rPr>
              <w:t>6</w:t>
            </w:r>
            <w:proofErr w:type="gramEnd"/>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AVENTAL DEPLASTICO TRANSPARENTE</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29,25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292,50 </w:t>
            </w:r>
          </w:p>
        </w:tc>
      </w:tr>
      <w:tr w:rsidR="00A22631" w:rsidRPr="00E70BF0" w:rsidTr="00A22631">
        <w:trPr>
          <w:trHeight w:val="42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proofErr w:type="gramStart"/>
            <w:r w:rsidRPr="00E70BF0">
              <w:rPr>
                <w:rFonts w:ascii="Arial" w:eastAsia="Times New Roman" w:hAnsi="Arial" w:cs="Arial"/>
                <w:color w:val="000000"/>
                <w:szCs w:val="24"/>
              </w:rPr>
              <w:t>7</w:t>
            </w:r>
            <w:proofErr w:type="gramEnd"/>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BALDE DE 12 LITROS</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12,99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259,80 </w:t>
            </w:r>
          </w:p>
        </w:tc>
      </w:tr>
      <w:tr w:rsidR="00A22631" w:rsidRPr="00E70BF0" w:rsidTr="00A22631">
        <w:trPr>
          <w:trHeight w:val="39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proofErr w:type="gramStart"/>
            <w:r w:rsidRPr="00E70BF0">
              <w:rPr>
                <w:rFonts w:ascii="Arial" w:eastAsia="Times New Roman" w:hAnsi="Arial" w:cs="Arial"/>
                <w:color w:val="000000"/>
                <w:szCs w:val="24"/>
              </w:rPr>
              <w:t>8</w:t>
            </w:r>
            <w:proofErr w:type="gramEnd"/>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CESTO PARA LIXO </w:t>
            </w:r>
            <w:proofErr w:type="gramStart"/>
            <w:r w:rsidRPr="00E70BF0">
              <w:rPr>
                <w:rFonts w:ascii="Arial" w:eastAsia="Times New Roman" w:hAnsi="Arial" w:cs="Arial"/>
                <w:b/>
                <w:bCs/>
                <w:color w:val="000000"/>
                <w:szCs w:val="24"/>
              </w:rPr>
              <w:t>100 LTS</w:t>
            </w:r>
            <w:proofErr w:type="gramEnd"/>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86,67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866,67 </w:t>
            </w:r>
          </w:p>
        </w:tc>
      </w:tr>
      <w:tr w:rsidR="00A22631" w:rsidRPr="00E70BF0" w:rsidTr="00A22631">
        <w:trPr>
          <w:trHeight w:val="645"/>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proofErr w:type="gramStart"/>
            <w:r w:rsidRPr="00E70BF0">
              <w:rPr>
                <w:rFonts w:ascii="Arial" w:eastAsia="Times New Roman" w:hAnsi="Arial" w:cs="Arial"/>
                <w:color w:val="000000"/>
                <w:szCs w:val="24"/>
              </w:rPr>
              <w:t>9</w:t>
            </w:r>
            <w:proofErr w:type="gramEnd"/>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CESTO PARA LIXO EM PLASTICO TELINHA S/TAMPA 9 LITROS</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5,95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118,93 </w:t>
            </w:r>
          </w:p>
        </w:tc>
      </w:tr>
      <w:tr w:rsidR="00A22631" w:rsidRPr="00E70BF0" w:rsidTr="00A22631">
        <w:trPr>
          <w:trHeight w:val="615"/>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10</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DESENGURDURANTE LIMPEZA PESADA </w:t>
            </w:r>
            <w:proofErr w:type="gramStart"/>
            <w:r w:rsidRPr="00E70BF0">
              <w:rPr>
                <w:rFonts w:ascii="Arial" w:eastAsia="Times New Roman" w:hAnsi="Arial" w:cs="Arial"/>
                <w:b/>
                <w:bCs/>
                <w:color w:val="000000"/>
                <w:szCs w:val="24"/>
              </w:rPr>
              <w:t>5 LTS</w:t>
            </w:r>
            <w:proofErr w:type="gramEnd"/>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83,96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1.679,20 </w:t>
            </w:r>
          </w:p>
        </w:tc>
      </w:tr>
      <w:tr w:rsidR="00A22631" w:rsidRPr="00E70BF0" w:rsidTr="00A22631">
        <w:trPr>
          <w:trHeight w:val="585"/>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11</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proofErr w:type="gramStart"/>
            <w:r w:rsidRPr="00E70BF0">
              <w:rPr>
                <w:rFonts w:ascii="Arial" w:eastAsia="Times New Roman" w:hAnsi="Arial" w:cs="Arial"/>
                <w:b/>
                <w:bCs/>
                <w:color w:val="000000"/>
                <w:szCs w:val="24"/>
              </w:rPr>
              <w:t>DESINFETANTE LIQUIDO</w:t>
            </w:r>
            <w:proofErr w:type="gramEnd"/>
            <w:r w:rsidRPr="00E70BF0">
              <w:rPr>
                <w:rFonts w:ascii="Arial" w:eastAsia="Times New Roman" w:hAnsi="Arial" w:cs="Arial"/>
                <w:b/>
                <w:bCs/>
                <w:color w:val="000000"/>
                <w:szCs w:val="24"/>
              </w:rPr>
              <w:t xml:space="preserve"> 2L CAIXA COM 6X1</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CX</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40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32,50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1.300,00 </w:t>
            </w:r>
          </w:p>
        </w:tc>
      </w:tr>
      <w:tr w:rsidR="00A22631" w:rsidRPr="00E70BF0" w:rsidTr="00A22631">
        <w:trPr>
          <w:trHeight w:val="51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12</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DESODORIZADOR DE AR </w:t>
            </w:r>
            <w:proofErr w:type="gramStart"/>
            <w:r w:rsidRPr="00E70BF0">
              <w:rPr>
                <w:rFonts w:ascii="Arial" w:eastAsia="Times New Roman" w:hAnsi="Arial" w:cs="Arial"/>
                <w:b/>
                <w:bCs/>
                <w:color w:val="000000"/>
                <w:szCs w:val="24"/>
              </w:rPr>
              <w:t>360ML</w:t>
            </w:r>
            <w:proofErr w:type="gramEnd"/>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60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13,98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838,60 </w:t>
            </w:r>
          </w:p>
        </w:tc>
      </w:tr>
      <w:tr w:rsidR="00A22631" w:rsidRPr="00E70BF0" w:rsidTr="00A22631">
        <w:trPr>
          <w:trHeight w:val="63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13</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proofErr w:type="gramStart"/>
            <w:r w:rsidRPr="00E70BF0">
              <w:rPr>
                <w:rFonts w:ascii="Arial" w:eastAsia="Times New Roman" w:hAnsi="Arial" w:cs="Arial"/>
                <w:b/>
                <w:bCs/>
                <w:color w:val="000000"/>
                <w:szCs w:val="24"/>
              </w:rPr>
              <w:t>DETERGENTE LIQUIDO</w:t>
            </w:r>
            <w:proofErr w:type="gramEnd"/>
            <w:r w:rsidRPr="00E70BF0">
              <w:rPr>
                <w:rFonts w:ascii="Arial" w:eastAsia="Times New Roman" w:hAnsi="Arial" w:cs="Arial"/>
                <w:b/>
                <w:bCs/>
                <w:color w:val="000000"/>
                <w:szCs w:val="24"/>
              </w:rPr>
              <w:t xml:space="preserve"> PARA LOUÇA DE 500 ML CAIXA COM 24X500ML</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CX</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25</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49,40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1.235,00 </w:t>
            </w:r>
          </w:p>
        </w:tc>
      </w:tr>
      <w:tr w:rsidR="00A22631" w:rsidRPr="00E70BF0" w:rsidTr="00A22631">
        <w:trPr>
          <w:trHeight w:val="54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14</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ESCOVA PARA LAVAR ROUPAS DE PLASTICO</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5,41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54,07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15</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ESCOVA PARA VASO SANITARIO PLASTICO COM SUPORTE</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14,07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140,73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16</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ESPANADOR DE PÓ PENA</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37,92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379,17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17</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ESPONJA LÃ DE AÇO PACOTE COM </w:t>
            </w:r>
            <w:proofErr w:type="gramStart"/>
            <w:r w:rsidRPr="00E70BF0">
              <w:rPr>
                <w:rFonts w:ascii="Arial" w:eastAsia="Times New Roman" w:hAnsi="Arial" w:cs="Arial"/>
                <w:b/>
                <w:bCs/>
                <w:color w:val="000000"/>
                <w:szCs w:val="24"/>
              </w:rPr>
              <w:t>8</w:t>
            </w:r>
            <w:proofErr w:type="gramEnd"/>
            <w:r w:rsidRPr="00E70BF0">
              <w:rPr>
                <w:rFonts w:ascii="Arial" w:eastAsia="Times New Roman" w:hAnsi="Arial" w:cs="Arial"/>
                <w:b/>
                <w:bCs/>
                <w:color w:val="000000"/>
                <w:szCs w:val="24"/>
              </w:rPr>
              <w:t xml:space="preserve"> UNIDADES. FARDO 14X1</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FARDO</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14</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42,47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594,53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18</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ESPONJA MULTIUSO DUPLA FACE</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50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0,87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43,33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19</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FLANELA DE ALGODÃO 30X40</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5,20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104,00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20</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FORRO DE MESA PLASTIFICADO</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MT</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25</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13,53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338,25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21</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INSETICIDA AEROSSOL </w:t>
            </w:r>
            <w:proofErr w:type="gramStart"/>
            <w:r w:rsidRPr="00E70BF0">
              <w:rPr>
                <w:rFonts w:ascii="Arial" w:eastAsia="Times New Roman" w:hAnsi="Arial" w:cs="Arial"/>
                <w:b/>
                <w:bCs/>
                <w:color w:val="000000"/>
                <w:szCs w:val="24"/>
              </w:rPr>
              <w:t>450ML</w:t>
            </w:r>
            <w:proofErr w:type="gramEnd"/>
            <w:r w:rsidRPr="00E70BF0">
              <w:rPr>
                <w:rFonts w:ascii="Arial" w:eastAsia="Times New Roman" w:hAnsi="Arial" w:cs="Arial"/>
                <w:b/>
                <w:bCs/>
                <w:color w:val="000000"/>
                <w:szCs w:val="24"/>
              </w:rPr>
              <w:t xml:space="preserve"> SBP</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50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13,00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650,00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22</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LIMPA ALUMINIO COM CAIXA 12X500 ML</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CX</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47,67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476,67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23</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LIMPA VIDRO CAIXA COM 12X500 ML</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CX</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61,74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617,40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24</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LUVA DE BORRACHA ANTIDERRAPANTE TAMANHO </w:t>
            </w:r>
            <w:proofErr w:type="gramStart"/>
            <w:r w:rsidRPr="00E70BF0">
              <w:rPr>
                <w:rFonts w:ascii="Arial" w:eastAsia="Times New Roman" w:hAnsi="Arial" w:cs="Arial"/>
                <w:b/>
                <w:bCs/>
                <w:color w:val="000000"/>
                <w:szCs w:val="24"/>
              </w:rPr>
              <w:t>M,</w:t>
            </w:r>
            <w:proofErr w:type="gramEnd"/>
            <w:r w:rsidRPr="00E70BF0">
              <w:rPr>
                <w:rFonts w:ascii="Arial" w:eastAsia="Times New Roman" w:hAnsi="Arial" w:cs="Arial"/>
                <w:b/>
                <w:bCs/>
                <w:color w:val="000000"/>
                <w:szCs w:val="24"/>
              </w:rPr>
              <w:t>G</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PAR</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25</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4,01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100,25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25</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LUVAS DESCARTAVEIS LATEX TAMANHO M CAIXA COM 50 PARES</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CX</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21,67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216,67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26</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MANGUEIRA DE 3/4, </w:t>
            </w:r>
            <w:proofErr w:type="gramStart"/>
            <w:r w:rsidRPr="00E70BF0">
              <w:rPr>
                <w:rFonts w:ascii="Arial" w:eastAsia="Times New Roman" w:hAnsi="Arial" w:cs="Arial"/>
                <w:b/>
                <w:bCs/>
                <w:color w:val="000000"/>
                <w:szCs w:val="24"/>
              </w:rPr>
              <w:t>2MM</w:t>
            </w:r>
            <w:proofErr w:type="gramEnd"/>
            <w:r w:rsidRPr="00E70BF0">
              <w:rPr>
                <w:rFonts w:ascii="Arial" w:eastAsia="Times New Roman" w:hAnsi="Arial" w:cs="Arial"/>
                <w:b/>
                <w:bCs/>
                <w:color w:val="000000"/>
                <w:szCs w:val="24"/>
              </w:rPr>
              <w:t xml:space="preserve"> DE ESPESSURA, 30M, COM </w:t>
            </w:r>
            <w:r w:rsidRPr="00E70BF0">
              <w:rPr>
                <w:rFonts w:ascii="Arial" w:eastAsia="Times New Roman" w:hAnsi="Arial" w:cs="Arial"/>
                <w:b/>
                <w:bCs/>
                <w:color w:val="000000"/>
                <w:szCs w:val="24"/>
              </w:rPr>
              <w:lastRenderedPageBreak/>
              <w:t>ENROLADOR</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lastRenderedPageBreak/>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15</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71,49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1.072,35 </w:t>
            </w:r>
          </w:p>
        </w:tc>
      </w:tr>
      <w:tr w:rsidR="00A22631" w:rsidRPr="00E70BF0" w:rsidTr="00A22631">
        <w:trPr>
          <w:trHeight w:val="99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lastRenderedPageBreak/>
              <w:t>27</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MÁSCARA DESCARTÁVEL CIRURGICA CAIXA COM 50 UNIDADES NA COR BRANCA</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CX</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10,83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2.166,67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28</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NAFTALINA PACOTE COM 20 UNIDADES</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PACOTE</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w:t>
            </w:r>
            <w:proofErr w:type="gramStart"/>
            <w:r w:rsidRPr="00A22631">
              <w:rPr>
                <w:rFonts w:ascii="Arial" w:hAnsi="Arial" w:cs="Arial"/>
                <w:b/>
                <w:color w:val="000000"/>
              </w:rPr>
              <w:t xml:space="preserve">   </w:t>
            </w:r>
          </w:p>
        </w:tc>
        <w:tc>
          <w:tcPr>
            <w:tcW w:w="1302" w:type="dxa"/>
            <w:shd w:val="clear" w:color="auto" w:fill="auto"/>
            <w:noWrap/>
            <w:vAlign w:val="center"/>
          </w:tcPr>
          <w:p w:rsidR="00A22631" w:rsidRPr="00A22631" w:rsidRDefault="00A22631">
            <w:pPr>
              <w:rPr>
                <w:rFonts w:ascii="Arial" w:hAnsi="Arial" w:cs="Arial"/>
                <w:b/>
                <w:color w:val="000000"/>
              </w:rPr>
            </w:pPr>
            <w:proofErr w:type="gramEnd"/>
            <w:r w:rsidRPr="00A22631">
              <w:rPr>
                <w:rFonts w:ascii="Arial" w:hAnsi="Arial" w:cs="Arial"/>
                <w:b/>
                <w:color w:val="000000"/>
              </w:rPr>
              <w:t xml:space="preserve">              -</w:t>
            </w:r>
            <w:proofErr w:type="gramStart"/>
            <w:r w:rsidRPr="00A22631">
              <w:rPr>
                <w:rFonts w:ascii="Arial" w:hAnsi="Arial" w:cs="Arial"/>
                <w:b/>
                <w:color w:val="000000"/>
              </w:rPr>
              <w:t xml:space="preserve">   </w:t>
            </w:r>
          </w:p>
        </w:tc>
        <w:proofErr w:type="gramEnd"/>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29</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PÁ PARA LIXO COM CABO</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7,57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151,47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30</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PANO DE CHÃO EM ALGODÃO REFORÇADO BRANCO 60X82 CM</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30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9,53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286,00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31</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PANO DE PRATO PINTADO 100% ALGODÃO 45X70CM</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30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5,20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156,00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32</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PAPEL ALUMINIO ROLO COM 7,5 M X </w:t>
            </w:r>
            <w:proofErr w:type="gramStart"/>
            <w:r w:rsidRPr="00E70BF0">
              <w:rPr>
                <w:rFonts w:ascii="Arial" w:eastAsia="Times New Roman" w:hAnsi="Arial" w:cs="Arial"/>
                <w:b/>
                <w:bCs/>
                <w:color w:val="000000"/>
                <w:szCs w:val="24"/>
              </w:rPr>
              <w:t>30CM</w:t>
            </w:r>
            <w:proofErr w:type="gramEnd"/>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ROLO</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30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5,95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178,40 </w:t>
            </w:r>
          </w:p>
        </w:tc>
      </w:tr>
      <w:tr w:rsidR="00A22631" w:rsidRPr="00E70BF0" w:rsidTr="00A22631">
        <w:trPr>
          <w:trHeight w:val="87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33</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PAPEL HIGIENICO NEUTRO, ROLO </w:t>
            </w:r>
            <w:proofErr w:type="gramStart"/>
            <w:r w:rsidRPr="00E70BF0">
              <w:rPr>
                <w:rFonts w:ascii="Arial" w:eastAsia="Times New Roman" w:hAnsi="Arial" w:cs="Arial"/>
                <w:b/>
                <w:bCs/>
                <w:color w:val="000000"/>
                <w:szCs w:val="24"/>
              </w:rPr>
              <w:t>30CM</w:t>
            </w:r>
            <w:proofErr w:type="gramEnd"/>
            <w:r w:rsidRPr="00E70BF0">
              <w:rPr>
                <w:rFonts w:ascii="Arial" w:eastAsia="Times New Roman" w:hAnsi="Arial" w:cs="Arial"/>
                <w:b/>
                <w:bCs/>
                <w:color w:val="000000"/>
                <w:szCs w:val="24"/>
              </w:rPr>
              <w:t xml:space="preserve">, PACOTE COM 04 ROLOS FARDO CONTÉM 16X04 COM 64 </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FARDO</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80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182,00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14.560,00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34</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PAPEL TOALHA BRANCO, 02 ROLOS COM 60 TOALHAS </w:t>
            </w:r>
            <w:proofErr w:type="gramStart"/>
            <w:r w:rsidRPr="00E70BF0">
              <w:rPr>
                <w:rFonts w:ascii="Arial" w:eastAsia="Times New Roman" w:hAnsi="Arial" w:cs="Arial"/>
                <w:b/>
                <w:bCs/>
                <w:color w:val="000000"/>
                <w:szCs w:val="24"/>
              </w:rPr>
              <w:t>19CM</w:t>
            </w:r>
            <w:proofErr w:type="gramEnd"/>
            <w:r w:rsidRPr="00E70BF0">
              <w:rPr>
                <w:rFonts w:ascii="Arial" w:eastAsia="Times New Roman" w:hAnsi="Arial" w:cs="Arial"/>
                <w:b/>
                <w:bCs/>
                <w:color w:val="000000"/>
                <w:szCs w:val="24"/>
              </w:rPr>
              <w:t xml:space="preserve"> X 21,5</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40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8,11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324,53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35</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PEDRAS SANITARIAS</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50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1,73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86,67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36</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RASTELO DE FERRO COM CABO</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53,07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530,73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37</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RODO PARA CHÃO, GRANDE CABO DE MADEIRA.</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30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30,32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909,70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38</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RODO PARA CHÃO, MÉDIO, CABO DE MADEIRA.</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23,82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476,47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39</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SABÃO EM BARRA GLICERRINADO CAIXA COM 10 PACOTE DE 05</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CX</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25</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140,83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3.520,83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40</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SABÃO EM PÓ 500G, CAIXA COM 24 </w:t>
            </w:r>
            <w:proofErr w:type="gramStart"/>
            <w:r w:rsidRPr="00E70BF0">
              <w:rPr>
                <w:rFonts w:ascii="Arial" w:eastAsia="Times New Roman" w:hAnsi="Arial" w:cs="Arial"/>
                <w:b/>
                <w:bCs/>
                <w:color w:val="000000"/>
                <w:szCs w:val="24"/>
              </w:rPr>
              <w:t>UNIDADES</w:t>
            </w:r>
            <w:proofErr w:type="gramEnd"/>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CX</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25</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72,80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1.820,00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41</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proofErr w:type="gramStart"/>
            <w:r>
              <w:rPr>
                <w:rFonts w:ascii="Arial" w:eastAsia="Times New Roman" w:hAnsi="Arial" w:cs="Arial"/>
                <w:b/>
                <w:bCs/>
                <w:color w:val="000000"/>
                <w:szCs w:val="24"/>
              </w:rPr>
              <w:t xml:space="preserve">SABONETE </w:t>
            </w:r>
            <w:r w:rsidRPr="00E70BF0">
              <w:rPr>
                <w:rFonts w:ascii="Arial" w:eastAsia="Times New Roman" w:hAnsi="Arial" w:cs="Arial"/>
                <w:b/>
                <w:bCs/>
                <w:color w:val="000000"/>
                <w:szCs w:val="24"/>
              </w:rPr>
              <w:t>LIQUIDO</w:t>
            </w:r>
            <w:proofErr w:type="gramEnd"/>
            <w:r w:rsidRPr="00E70BF0">
              <w:rPr>
                <w:rFonts w:ascii="Arial" w:eastAsia="Times New Roman" w:hAnsi="Arial" w:cs="Arial"/>
                <w:b/>
                <w:bCs/>
                <w:color w:val="000000"/>
                <w:szCs w:val="24"/>
              </w:rPr>
              <w:t xml:space="preserve"> COM 500 ML CAIXA COM 24X1</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CX</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15</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324,99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4.874,85 </w:t>
            </w:r>
          </w:p>
        </w:tc>
      </w:tr>
      <w:tr w:rsidR="00A22631" w:rsidRPr="00E70BF0" w:rsidTr="00A22631">
        <w:trPr>
          <w:trHeight w:val="54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42</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SACO PLÁSTICO PARA LIXO </w:t>
            </w:r>
            <w:proofErr w:type="gramStart"/>
            <w:r w:rsidRPr="00E70BF0">
              <w:rPr>
                <w:rFonts w:ascii="Arial" w:eastAsia="Times New Roman" w:hAnsi="Arial" w:cs="Arial"/>
                <w:b/>
                <w:bCs/>
                <w:color w:val="000000"/>
                <w:szCs w:val="24"/>
              </w:rPr>
              <w:t>100 LTS</w:t>
            </w:r>
            <w:proofErr w:type="gramEnd"/>
            <w:r w:rsidRPr="00E70BF0">
              <w:rPr>
                <w:rFonts w:ascii="Arial" w:eastAsia="Times New Roman" w:hAnsi="Arial" w:cs="Arial"/>
                <w:b/>
                <w:bCs/>
                <w:color w:val="000000"/>
                <w:szCs w:val="24"/>
              </w:rPr>
              <w:t xml:space="preserve"> REFORÇADO</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KG</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150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17,88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2.681,50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43</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SACO PLÁSTICO PARA LIXO, AZUL </w:t>
            </w:r>
            <w:proofErr w:type="gramStart"/>
            <w:r w:rsidRPr="00E70BF0">
              <w:rPr>
                <w:rFonts w:ascii="Arial" w:eastAsia="Times New Roman" w:hAnsi="Arial" w:cs="Arial"/>
                <w:b/>
                <w:bCs/>
                <w:color w:val="000000"/>
                <w:szCs w:val="24"/>
              </w:rPr>
              <w:t>30 LTS</w:t>
            </w:r>
            <w:proofErr w:type="gramEnd"/>
            <w:r w:rsidRPr="00E70BF0">
              <w:rPr>
                <w:rFonts w:ascii="Arial" w:eastAsia="Times New Roman" w:hAnsi="Arial" w:cs="Arial"/>
                <w:b/>
                <w:bCs/>
                <w:color w:val="000000"/>
                <w:szCs w:val="24"/>
              </w:rPr>
              <w:t>, PACOTE COM 10 UNIDADES</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PACOTE</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100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3,09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309,00 </w:t>
            </w:r>
          </w:p>
        </w:tc>
      </w:tr>
      <w:tr w:rsidR="00A22631" w:rsidRPr="00E70BF0" w:rsidTr="00A22631">
        <w:trPr>
          <w:trHeight w:val="585"/>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44</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SACO PLÁSTICO PARA LIXO, AZUL, </w:t>
            </w:r>
            <w:proofErr w:type="gramStart"/>
            <w:r w:rsidRPr="00E70BF0">
              <w:rPr>
                <w:rFonts w:ascii="Arial" w:eastAsia="Times New Roman" w:hAnsi="Arial" w:cs="Arial"/>
                <w:b/>
                <w:bCs/>
                <w:color w:val="000000"/>
                <w:szCs w:val="24"/>
              </w:rPr>
              <w:t>15LTS</w:t>
            </w:r>
            <w:proofErr w:type="gramEnd"/>
            <w:r w:rsidRPr="00E70BF0">
              <w:rPr>
                <w:rFonts w:ascii="Arial" w:eastAsia="Times New Roman" w:hAnsi="Arial" w:cs="Arial"/>
                <w:b/>
                <w:bCs/>
                <w:color w:val="000000"/>
                <w:szCs w:val="24"/>
              </w:rPr>
              <w:t>, ROLO COM 50 UNIDADES</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ROLO</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100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7,80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780,00 </w:t>
            </w:r>
          </w:p>
        </w:tc>
      </w:tr>
      <w:tr w:rsidR="00A22631" w:rsidRPr="00E70BF0" w:rsidTr="00A22631">
        <w:trPr>
          <w:trHeight w:val="405"/>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45</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SODA CAUSTICA EM ESCAMAS </w:t>
            </w:r>
            <w:proofErr w:type="gramStart"/>
            <w:r w:rsidRPr="00E70BF0">
              <w:rPr>
                <w:rFonts w:ascii="Arial" w:eastAsia="Times New Roman" w:hAnsi="Arial" w:cs="Arial"/>
                <w:b/>
                <w:bCs/>
                <w:color w:val="000000"/>
                <w:szCs w:val="24"/>
              </w:rPr>
              <w:t>1KG</w:t>
            </w:r>
            <w:proofErr w:type="gramEnd"/>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22,74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227,40 </w:t>
            </w:r>
          </w:p>
        </w:tc>
      </w:tr>
      <w:tr w:rsidR="00A22631" w:rsidRPr="00E70BF0" w:rsidTr="00A22631">
        <w:trPr>
          <w:trHeight w:val="129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lastRenderedPageBreak/>
              <w:t>46</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 xml:space="preserve">TAPETE PARA PORTA COSTADO SOLIDA ANTIDERRAPANTE VINIL E HIGIENICO; ESPESSURA DE </w:t>
            </w:r>
            <w:proofErr w:type="gramStart"/>
            <w:r w:rsidRPr="00E70BF0">
              <w:rPr>
                <w:rFonts w:ascii="Arial" w:eastAsia="Times New Roman" w:hAnsi="Arial" w:cs="Arial"/>
                <w:b/>
                <w:bCs/>
                <w:color w:val="000000"/>
                <w:szCs w:val="24"/>
              </w:rPr>
              <w:t>12MM</w:t>
            </w:r>
            <w:proofErr w:type="gramEnd"/>
            <w:r w:rsidRPr="00E70BF0">
              <w:rPr>
                <w:rFonts w:ascii="Arial" w:eastAsia="Times New Roman" w:hAnsi="Arial" w:cs="Arial"/>
                <w:b/>
                <w:bCs/>
                <w:color w:val="000000"/>
                <w:szCs w:val="24"/>
              </w:rPr>
              <w:t>, LAVAVEL, 1,20CMX50CM</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25</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173,32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4.333,08 </w:t>
            </w:r>
          </w:p>
        </w:tc>
      </w:tr>
      <w:tr w:rsidR="00A22631" w:rsidRPr="00E70BF0" w:rsidTr="00A22631">
        <w:trPr>
          <w:trHeight w:val="585"/>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47</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TOALHA DE ROSTO 50 CM X 80 CM 100% DE ALGODÃO</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11,91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238,13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48</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TOUCA DESCARTÁVEL TAMANHO ÚNICO CONTEM 100 UNIDADES</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PACOTE</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18,41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368,13 </w:t>
            </w:r>
          </w:p>
        </w:tc>
      </w:tr>
      <w:tr w:rsidR="00A22631" w:rsidRPr="00E70BF0" w:rsidTr="00A22631">
        <w:trPr>
          <w:trHeight w:val="54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49</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VASSOURA COM CERDAS DE NYLON PARA PISO RUSTICO</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10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19,28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192,83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50</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VASSOURA DE PALHA CABO DE MADEIRA</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27,07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541,47 </w:t>
            </w:r>
          </w:p>
        </w:tc>
      </w:tr>
      <w:tr w:rsidR="00A22631" w:rsidRPr="00E70BF0" w:rsidTr="00A22631">
        <w:trPr>
          <w:trHeight w:val="600"/>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51</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VASSOURA DE PELO COM CERDAS MACIAS REFORÇADAS</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14,07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281,47 </w:t>
            </w:r>
          </w:p>
        </w:tc>
      </w:tr>
      <w:tr w:rsidR="00A22631" w:rsidRPr="00E70BF0" w:rsidTr="00A22631">
        <w:trPr>
          <w:trHeight w:val="585"/>
        </w:trPr>
        <w:tc>
          <w:tcPr>
            <w:tcW w:w="666" w:type="dxa"/>
            <w:shd w:val="clear" w:color="auto" w:fill="auto"/>
            <w:noWrap/>
            <w:vAlign w:val="center"/>
            <w:hideMark/>
          </w:tcPr>
          <w:p w:rsidR="00A22631" w:rsidRPr="00E70BF0" w:rsidRDefault="00A22631" w:rsidP="00E70BF0">
            <w:pPr>
              <w:spacing w:after="0" w:line="240" w:lineRule="auto"/>
              <w:jc w:val="center"/>
              <w:rPr>
                <w:rFonts w:ascii="Arial" w:eastAsia="Times New Roman" w:hAnsi="Arial" w:cs="Arial"/>
                <w:color w:val="000000"/>
                <w:szCs w:val="24"/>
              </w:rPr>
            </w:pPr>
            <w:r w:rsidRPr="00E70BF0">
              <w:rPr>
                <w:rFonts w:ascii="Arial" w:eastAsia="Times New Roman" w:hAnsi="Arial" w:cs="Arial"/>
                <w:color w:val="000000"/>
                <w:szCs w:val="24"/>
              </w:rPr>
              <w:t>52</w:t>
            </w:r>
          </w:p>
        </w:tc>
        <w:tc>
          <w:tcPr>
            <w:tcW w:w="4160" w:type="dxa"/>
            <w:shd w:val="clear" w:color="auto" w:fill="auto"/>
            <w:vAlign w:val="center"/>
            <w:hideMark/>
          </w:tcPr>
          <w:p w:rsidR="00A22631" w:rsidRPr="00E70BF0" w:rsidRDefault="00A22631" w:rsidP="00E70BF0">
            <w:pPr>
              <w:spacing w:after="0" w:line="240" w:lineRule="auto"/>
              <w:rPr>
                <w:rFonts w:ascii="Arial" w:eastAsia="Times New Roman" w:hAnsi="Arial" w:cs="Arial"/>
                <w:b/>
                <w:bCs/>
                <w:color w:val="000000"/>
                <w:szCs w:val="24"/>
              </w:rPr>
            </w:pPr>
            <w:r w:rsidRPr="00E70BF0">
              <w:rPr>
                <w:rFonts w:ascii="Arial" w:eastAsia="Times New Roman" w:hAnsi="Arial" w:cs="Arial"/>
                <w:b/>
                <w:bCs/>
                <w:color w:val="000000"/>
                <w:szCs w:val="24"/>
              </w:rPr>
              <w:t>VASSOURA PARA VASCULHAR CABO GRANDE</w:t>
            </w:r>
          </w:p>
        </w:tc>
        <w:tc>
          <w:tcPr>
            <w:tcW w:w="1057"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UNID.</w:t>
            </w:r>
          </w:p>
        </w:tc>
        <w:tc>
          <w:tcPr>
            <w:tcW w:w="984" w:type="dxa"/>
            <w:shd w:val="clear" w:color="auto" w:fill="auto"/>
            <w:vAlign w:val="center"/>
            <w:hideMark/>
          </w:tcPr>
          <w:p w:rsidR="00A22631" w:rsidRPr="00E70BF0" w:rsidRDefault="00A22631" w:rsidP="00E70BF0">
            <w:pPr>
              <w:spacing w:after="0" w:line="240" w:lineRule="auto"/>
              <w:jc w:val="center"/>
              <w:rPr>
                <w:rFonts w:ascii="Arial" w:eastAsia="Times New Roman" w:hAnsi="Arial" w:cs="Arial"/>
                <w:b/>
                <w:bCs/>
                <w:color w:val="000000"/>
                <w:szCs w:val="24"/>
              </w:rPr>
            </w:pPr>
            <w:r w:rsidRPr="00E70BF0">
              <w:rPr>
                <w:rFonts w:ascii="Arial" w:eastAsia="Times New Roman" w:hAnsi="Arial" w:cs="Arial"/>
                <w:b/>
                <w:bCs/>
                <w:color w:val="000000"/>
                <w:szCs w:val="24"/>
              </w:rPr>
              <w:t>20</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18,41 </w:t>
            </w:r>
          </w:p>
        </w:tc>
        <w:tc>
          <w:tcPr>
            <w:tcW w:w="1302" w:type="dxa"/>
            <w:shd w:val="clear" w:color="auto" w:fill="auto"/>
            <w:noWrap/>
            <w:vAlign w:val="center"/>
          </w:tcPr>
          <w:p w:rsidR="00A22631" w:rsidRPr="00A22631" w:rsidRDefault="00A22631">
            <w:pPr>
              <w:rPr>
                <w:rFonts w:ascii="Arial" w:hAnsi="Arial" w:cs="Arial"/>
                <w:b/>
                <w:color w:val="000000"/>
              </w:rPr>
            </w:pPr>
            <w:r w:rsidRPr="00A22631">
              <w:rPr>
                <w:rFonts w:ascii="Arial" w:hAnsi="Arial" w:cs="Arial"/>
                <w:b/>
                <w:color w:val="000000"/>
              </w:rPr>
              <w:t xml:space="preserve">       368,13 </w:t>
            </w:r>
          </w:p>
        </w:tc>
      </w:tr>
      <w:tr w:rsidR="00E70BF0" w:rsidRPr="00E70BF0" w:rsidTr="00A22631">
        <w:trPr>
          <w:trHeight w:val="300"/>
        </w:trPr>
        <w:tc>
          <w:tcPr>
            <w:tcW w:w="6867" w:type="dxa"/>
            <w:gridSpan w:val="4"/>
            <w:shd w:val="clear" w:color="auto" w:fill="auto"/>
            <w:noWrap/>
            <w:vAlign w:val="center"/>
            <w:hideMark/>
          </w:tcPr>
          <w:p w:rsidR="00E70BF0" w:rsidRPr="00E70BF0" w:rsidRDefault="00E70BF0" w:rsidP="00E70BF0">
            <w:pPr>
              <w:spacing w:after="0" w:line="240" w:lineRule="auto"/>
              <w:jc w:val="center"/>
              <w:rPr>
                <w:rFonts w:ascii="Arial" w:eastAsia="Times New Roman" w:hAnsi="Arial" w:cs="Arial"/>
                <w:b/>
                <w:color w:val="000000"/>
                <w:szCs w:val="24"/>
              </w:rPr>
            </w:pPr>
            <w:r w:rsidRPr="00E70BF0">
              <w:rPr>
                <w:rFonts w:ascii="Arial" w:eastAsia="Times New Roman" w:hAnsi="Arial" w:cs="Arial"/>
                <w:b/>
                <w:color w:val="000000"/>
                <w:szCs w:val="24"/>
              </w:rPr>
              <w:t xml:space="preserve">VALOR TOTAL </w:t>
            </w:r>
          </w:p>
        </w:tc>
        <w:tc>
          <w:tcPr>
            <w:tcW w:w="2604" w:type="dxa"/>
            <w:gridSpan w:val="2"/>
            <w:shd w:val="clear" w:color="auto" w:fill="auto"/>
            <w:noWrap/>
            <w:vAlign w:val="center"/>
            <w:hideMark/>
          </w:tcPr>
          <w:p w:rsidR="00E70BF0" w:rsidRPr="00E70BF0" w:rsidRDefault="00A22631" w:rsidP="00A22631">
            <w:pPr>
              <w:jc w:val="right"/>
              <w:rPr>
                <w:rFonts w:ascii="Arial" w:hAnsi="Arial" w:cs="Arial"/>
                <w:b/>
                <w:color w:val="000000"/>
              </w:rPr>
            </w:pPr>
            <w:r w:rsidRPr="00A22631">
              <w:rPr>
                <w:rFonts w:ascii="Arial" w:hAnsi="Arial" w:cs="Arial"/>
                <w:b/>
                <w:color w:val="000000"/>
              </w:rPr>
              <w:t>58.392,65</w:t>
            </w:r>
          </w:p>
        </w:tc>
      </w:tr>
    </w:tbl>
    <w:p w:rsidR="0009199A" w:rsidRPr="00400004" w:rsidRDefault="0009199A" w:rsidP="0009199A">
      <w:pPr>
        <w:tabs>
          <w:tab w:val="left" w:pos="1134"/>
        </w:tabs>
        <w:spacing w:after="0" w:line="240" w:lineRule="auto"/>
        <w:jc w:val="both"/>
        <w:rPr>
          <w:rFonts w:ascii="Arial" w:hAnsi="Arial" w:cs="Arial"/>
          <w:sz w:val="24"/>
          <w:szCs w:val="24"/>
        </w:rPr>
      </w:pPr>
    </w:p>
    <w:p w:rsidR="00400004" w:rsidRPr="00400004" w:rsidRDefault="00400004" w:rsidP="0009199A">
      <w:pPr>
        <w:ind w:firstLine="709"/>
        <w:jc w:val="center"/>
        <w:rPr>
          <w:rFonts w:ascii="Arial" w:hAnsi="Arial" w:cs="Arial"/>
          <w:b/>
          <w:bCs/>
          <w:color w:val="000000" w:themeColor="text1"/>
          <w:sz w:val="24"/>
          <w:szCs w:val="24"/>
        </w:rPr>
      </w:pPr>
    </w:p>
    <w:p w:rsidR="00400004" w:rsidRPr="00400004" w:rsidRDefault="00400004" w:rsidP="00400004">
      <w:pPr>
        <w:widowControl w:val="0"/>
        <w:numPr>
          <w:ilvl w:val="0"/>
          <w:numId w:val="3"/>
        </w:numPr>
        <w:pBdr>
          <w:left w:val="single" w:sz="4" w:space="4" w:color="auto"/>
        </w:pBdr>
        <w:autoSpaceDE w:val="0"/>
        <w:autoSpaceDN w:val="0"/>
        <w:adjustRightInd w:val="0"/>
        <w:spacing w:before="2" w:after="240" w:line="240" w:lineRule="auto"/>
        <w:ind w:left="851" w:right="186" w:hanging="709"/>
        <w:rPr>
          <w:rFonts w:ascii="Arial" w:hAnsi="Arial" w:cs="Arial"/>
          <w:b/>
          <w:sz w:val="24"/>
          <w:szCs w:val="24"/>
        </w:rPr>
      </w:pPr>
      <w:r w:rsidRPr="00400004">
        <w:rPr>
          <w:rFonts w:ascii="Arial" w:hAnsi="Arial" w:cs="Arial"/>
          <w:b/>
          <w:sz w:val="24"/>
          <w:szCs w:val="24"/>
        </w:rPr>
        <w:t xml:space="preserve">DO LOCAL PARA </w:t>
      </w:r>
      <w:r w:rsidR="00D96E2C">
        <w:rPr>
          <w:rFonts w:ascii="Arial" w:hAnsi="Arial" w:cs="Arial"/>
          <w:b/>
          <w:sz w:val="24"/>
          <w:szCs w:val="24"/>
        </w:rPr>
        <w:t>ENTREGA DOS PRODUTOS</w:t>
      </w:r>
    </w:p>
    <w:p w:rsidR="00400004" w:rsidRPr="00400004" w:rsidRDefault="00A26646" w:rsidP="00B31516">
      <w:pPr>
        <w:tabs>
          <w:tab w:val="left" w:pos="1134"/>
        </w:tabs>
        <w:spacing w:after="240" w:line="360" w:lineRule="auto"/>
        <w:jc w:val="both"/>
        <w:rPr>
          <w:rFonts w:ascii="Arial" w:hAnsi="Arial" w:cs="Arial"/>
          <w:color w:val="000000" w:themeColor="text1"/>
          <w:sz w:val="24"/>
          <w:szCs w:val="24"/>
        </w:rPr>
      </w:pPr>
      <w:sdt>
        <w:sdtPr>
          <w:rPr>
            <w:rFonts w:ascii="Arial" w:hAnsi="Arial" w:cs="Arial"/>
            <w:sz w:val="24"/>
            <w:szCs w:val="24"/>
          </w:rPr>
          <w:alias w:val="Empresa"/>
          <w:tag w:val=""/>
          <w:id w:val="-2140099661"/>
          <w:placeholder>
            <w:docPart w:val="31AC333436EB41E09025C40C40FFBE60"/>
          </w:placeholder>
          <w:dataBinding w:prefixMappings="xmlns:ns0='http://schemas.openxmlformats.org/officeDocument/2006/extended-properties' " w:xpath="/ns0:Properties[1]/ns0:Company[1]" w:storeItemID="{6668398D-A668-4E3E-A5EB-62B293D839F1}"/>
          <w:text/>
        </w:sdtPr>
        <w:sdtEndPr/>
        <w:sdtContent>
          <w:r w:rsidR="00B31516">
            <w:rPr>
              <w:rFonts w:ascii="Arial" w:hAnsi="Arial" w:cs="Arial"/>
              <w:sz w:val="24"/>
              <w:szCs w:val="24"/>
            </w:rPr>
            <w:t xml:space="preserve">6.1      </w:t>
          </w:r>
          <w:r w:rsidR="00B31516" w:rsidRPr="004A1BF9">
            <w:rPr>
              <w:rFonts w:ascii="Arial" w:hAnsi="Arial" w:cs="Arial"/>
              <w:sz w:val="24"/>
              <w:szCs w:val="24"/>
            </w:rPr>
            <w:t xml:space="preserve">Os </w:t>
          </w:r>
          <w:r w:rsidR="000B4F59">
            <w:rPr>
              <w:rFonts w:ascii="Arial" w:hAnsi="Arial" w:cs="Arial"/>
              <w:sz w:val="24"/>
              <w:szCs w:val="24"/>
            </w:rPr>
            <w:t xml:space="preserve">produtos deverão ser entregues na cidade de Bernardo Sayão, na sede do Fundo Municipal de Assistência </w:t>
          </w:r>
          <w:proofErr w:type="gramStart"/>
          <w:r w:rsidR="000B4F59">
            <w:rPr>
              <w:rFonts w:ascii="Arial" w:hAnsi="Arial" w:cs="Arial"/>
              <w:sz w:val="24"/>
              <w:szCs w:val="24"/>
            </w:rPr>
            <w:t>Social</w:t>
          </w:r>
          <w:r w:rsidR="00B31516" w:rsidRPr="004A1BF9">
            <w:rPr>
              <w:rFonts w:ascii="Arial" w:hAnsi="Arial" w:cs="Arial"/>
              <w:sz w:val="24"/>
              <w:szCs w:val="24"/>
            </w:rPr>
            <w:t>.</w:t>
          </w:r>
          <w:proofErr w:type="gramEnd"/>
        </w:sdtContent>
      </w:sdt>
    </w:p>
    <w:p w:rsidR="00400004" w:rsidRPr="00400004" w:rsidRDefault="00400004" w:rsidP="00400004">
      <w:pPr>
        <w:widowControl w:val="0"/>
        <w:numPr>
          <w:ilvl w:val="0"/>
          <w:numId w:val="3"/>
        </w:numPr>
        <w:pBdr>
          <w:left w:val="single" w:sz="4" w:space="4" w:color="auto"/>
        </w:pBdr>
        <w:autoSpaceDE w:val="0"/>
        <w:autoSpaceDN w:val="0"/>
        <w:adjustRightInd w:val="0"/>
        <w:spacing w:before="2" w:after="240" w:line="240" w:lineRule="auto"/>
        <w:ind w:left="851" w:right="186" w:hanging="709"/>
        <w:rPr>
          <w:rFonts w:ascii="Arial" w:hAnsi="Arial" w:cs="Arial"/>
          <w:b/>
          <w:sz w:val="24"/>
          <w:szCs w:val="24"/>
        </w:rPr>
      </w:pPr>
      <w:r w:rsidRPr="00400004">
        <w:rPr>
          <w:rFonts w:ascii="Arial" w:hAnsi="Arial" w:cs="Arial"/>
          <w:b/>
          <w:sz w:val="24"/>
          <w:szCs w:val="24"/>
        </w:rPr>
        <w:t>PAGAMENTO</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O pagamento será efetuado pela Contratante, no prazo de até 30 (trinta) dias, contados do recebimento da Nota Fiscal/Fatura, por meio de ordem bancária, para crédito em banco, agência e conta correntes indicados pelo contratado.</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Para efeito de liquidação e pagamento, a CONTRATADA deverá apresentar os seguintes documentos:</w:t>
      </w:r>
    </w:p>
    <w:p w:rsidR="00400004" w:rsidRPr="00400004" w:rsidRDefault="00400004" w:rsidP="00400004">
      <w:pPr>
        <w:numPr>
          <w:ilvl w:val="2"/>
          <w:numId w:val="3"/>
        </w:numPr>
        <w:tabs>
          <w:tab w:val="left" w:pos="1134"/>
          <w:tab w:val="left" w:pos="1985"/>
        </w:tabs>
        <w:spacing w:after="0" w:line="360" w:lineRule="auto"/>
        <w:ind w:left="0" w:firstLine="0"/>
        <w:jc w:val="both"/>
        <w:rPr>
          <w:rFonts w:ascii="Arial" w:hAnsi="Arial" w:cs="Arial"/>
          <w:sz w:val="24"/>
          <w:szCs w:val="24"/>
        </w:rPr>
      </w:pPr>
      <w:r w:rsidRPr="00400004">
        <w:rPr>
          <w:rFonts w:ascii="Arial" w:hAnsi="Arial" w:cs="Arial"/>
          <w:sz w:val="24"/>
          <w:szCs w:val="24"/>
        </w:rPr>
        <w:t>Nota Fiscal devidamente atestada pelo executor do contrato;</w:t>
      </w:r>
    </w:p>
    <w:p w:rsidR="00400004" w:rsidRPr="00400004" w:rsidRDefault="00400004" w:rsidP="00400004">
      <w:pPr>
        <w:numPr>
          <w:ilvl w:val="2"/>
          <w:numId w:val="3"/>
        </w:numPr>
        <w:tabs>
          <w:tab w:val="left" w:pos="1134"/>
          <w:tab w:val="left" w:pos="1985"/>
        </w:tabs>
        <w:spacing w:after="0" w:line="360" w:lineRule="auto"/>
        <w:ind w:left="0" w:firstLine="0"/>
        <w:jc w:val="both"/>
        <w:rPr>
          <w:rFonts w:ascii="Arial" w:hAnsi="Arial" w:cs="Arial"/>
          <w:sz w:val="24"/>
          <w:szCs w:val="24"/>
        </w:rPr>
      </w:pPr>
      <w:r w:rsidRPr="00400004">
        <w:rPr>
          <w:rFonts w:ascii="Arial" w:hAnsi="Arial" w:cs="Arial"/>
          <w:sz w:val="24"/>
          <w:szCs w:val="24"/>
        </w:rPr>
        <w:t>Certidão Negativa de Débitos Estadual;</w:t>
      </w:r>
    </w:p>
    <w:p w:rsidR="00400004" w:rsidRPr="00400004" w:rsidRDefault="00400004" w:rsidP="00400004">
      <w:pPr>
        <w:numPr>
          <w:ilvl w:val="2"/>
          <w:numId w:val="3"/>
        </w:numPr>
        <w:tabs>
          <w:tab w:val="left" w:pos="1134"/>
          <w:tab w:val="left" w:pos="1985"/>
        </w:tabs>
        <w:spacing w:after="0" w:line="360" w:lineRule="auto"/>
        <w:ind w:left="0" w:firstLine="0"/>
        <w:jc w:val="both"/>
        <w:rPr>
          <w:rFonts w:ascii="Arial" w:hAnsi="Arial" w:cs="Arial"/>
          <w:sz w:val="24"/>
          <w:szCs w:val="24"/>
        </w:rPr>
      </w:pPr>
      <w:r w:rsidRPr="00400004">
        <w:rPr>
          <w:rFonts w:ascii="Arial" w:hAnsi="Arial" w:cs="Arial"/>
          <w:sz w:val="24"/>
          <w:szCs w:val="24"/>
        </w:rPr>
        <w:t>Certidão Negativa de Débitos Federais– CND/emitida pelo INSS – Instituto Nacional de Seguridade Social, devidamente atualizada (Lei n.º 8.212/90);</w:t>
      </w:r>
    </w:p>
    <w:p w:rsidR="00400004" w:rsidRPr="00400004" w:rsidRDefault="00400004" w:rsidP="00400004">
      <w:pPr>
        <w:numPr>
          <w:ilvl w:val="2"/>
          <w:numId w:val="3"/>
        </w:numPr>
        <w:tabs>
          <w:tab w:val="left" w:pos="1134"/>
          <w:tab w:val="left" w:pos="1985"/>
        </w:tabs>
        <w:spacing w:after="0" w:line="360" w:lineRule="auto"/>
        <w:ind w:left="0" w:firstLine="0"/>
        <w:jc w:val="both"/>
        <w:rPr>
          <w:rFonts w:ascii="Arial" w:hAnsi="Arial" w:cs="Arial"/>
          <w:sz w:val="24"/>
          <w:szCs w:val="24"/>
        </w:rPr>
      </w:pPr>
      <w:r w:rsidRPr="00400004">
        <w:rPr>
          <w:rFonts w:ascii="Arial" w:hAnsi="Arial" w:cs="Arial"/>
          <w:sz w:val="24"/>
          <w:szCs w:val="24"/>
        </w:rPr>
        <w:lastRenderedPageBreak/>
        <w:t>Certificado de Regularidade do Fundo de Garantia por Tempo de Serviço – FGTS, fornecido pela CEF – Caixa Econômica Federal, devidamente atualizado (Lei n.º 8.036/90);</w:t>
      </w:r>
    </w:p>
    <w:p w:rsidR="00400004" w:rsidRPr="00400004" w:rsidRDefault="00400004" w:rsidP="00400004">
      <w:pPr>
        <w:numPr>
          <w:ilvl w:val="2"/>
          <w:numId w:val="3"/>
        </w:numPr>
        <w:tabs>
          <w:tab w:val="left" w:pos="1134"/>
          <w:tab w:val="left" w:pos="1985"/>
        </w:tabs>
        <w:spacing w:after="0" w:line="360" w:lineRule="auto"/>
        <w:ind w:left="0" w:firstLine="0"/>
        <w:jc w:val="both"/>
        <w:rPr>
          <w:rFonts w:ascii="Arial" w:hAnsi="Arial" w:cs="Arial"/>
          <w:sz w:val="24"/>
          <w:szCs w:val="24"/>
        </w:rPr>
      </w:pPr>
      <w:r w:rsidRPr="00400004">
        <w:rPr>
          <w:rFonts w:ascii="Arial" w:hAnsi="Arial" w:cs="Arial"/>
          <w:sz w:val="24"/>
          <w:szCs w:val="24"/>
        </w:rPr>
        <w:t>Prova de inexistência de débitos inadimplidos perante a Justiça do Trabalho, mediante a apresentação de certidão negativa (CNDT);</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O pagamento será efetuado até 30 (trinta) dias, contados a partir da data de recebimento da Nota Fiscal, desde que o documento de cobrança esteja em condições de liquidação de pagamento;</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É vedado o pagamento antecipado;</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Nenhum pagamento será efetuado à licitante vencedora enquanto pendente de liquidação, qualquer obrigação que lhe for imposta, em virtude de penalidade ou inadimplência, sem que isso gere direito ao pleito de reajustamento de preços ou correção monetária (quando for o caso);</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Caso haja multa por inadimplemento contratual, será adotado o seguinte procedimento:</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A multa será descontada do valor da nota fiscal ou do crédito existentes na Contratante em relação à CONTRATADA;</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Se o valor da multa for superior ao valor devido pelo fornecimento do material, responderá o contratado pela sua diferença a qual será descontada dos pagamentos eventualmente devidos pela Administração, ou ainda, quando for o caso, cobrada judicialmente;</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Será efetuada a retenção ou glosa no pagamento, proporcional à irregularidade verificada, sem prejuízo das sanções cabíveis, caso se constate que a Contratada:</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Não produziu os resultados acordados;</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Deixou de executar as atividades contratadas, ou não as executou com a qualidade mínima exigida;</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lastRenderedPageBreak/>
        <w:t>Deixou de utilizar os materiais e recursos humanos exigidos para a execução do serviço, ou utilizou-os com qualidade ou quantidade inferior à demandada.</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Será considerada data do pagamento o dia em que constar como emitida a ordem bancária para pagamento.</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Antes de cada pagamento à contratada, será realizada verificação a manutenção das condições de habilitação exigidas.</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 xml:space="preserve">Constatando-se, a situação de irregularidade da contratada, será providenciada sua advertência, por escrito, para que, no prazo de </w:t>
      </w:r>
      <w:proofErr w:type="gramStart"/>
      <w:r w:rsidRPr="00400004">
        <w:rPr>
          <w:rFonts w:ascii="Arial" w:hAnsi="Arial" w:cs="Arial"/>
          <w:sz w:val="24"/>
          <w:szCs w:val="24"/>
        </w:rPr>
        <w:t>5</w:t>
      </w:r>
      <w:proofErr w:type="gramEnd"/>
      <w:r w:rsidRPr="00400004">
        <w:rPr>
          <w:rFonts w:ascii="Arial" w:hAnsi="Arial" w:cs="Arial"/>
          <w:sz w:val="24"/>
          <w:szCs w:val="24"/>
        </w:rPr>
        <w:t xml:space="preserve"> (cinco) dias, regularize sua situação ou, no mesmo prazo, apresente sua defesa. O prazo poderá ser prorrogado uma vez, por igual período, a critério da contratante.</w:t>
      </w:r>
    </w:p>
    <w:p w:rsidR="00400004" w:rsidRPr="00400004" w:rsidRDefault="00400004" w:rsidP="00400004">
      <w:pPr>
        <w:numPr>
          <w:ilvl w:val="1"/>
          <w:numId w:val="3"/>
        </w:numPr>
        <w:tabs>
          <w:tab w:val="left" w:pos="1134"/>
        </w:tabs>
        <w:spacing w:after="0" w:line="360" w:lineRule="auto"/>
        <w:ind w:left="0" w:firstLine="0"/>
        <w:jc w:val="both"/>
        <w:rPr>
          <w:rFonts w:ascii="Arial" w:hAnsi="Arial" w:cs="Arial"/>
          <w:sz w:val="24"/>
          <w:szCs w:val="24"/>
        </w:rPr>
      </w:pPr>
      <w:r w:rsidRPr="00400004">
        <w:rPr>
          <w:rFonts w:ascii="Arial" w:hAnsi="Arial" w:cs="Arial"/>
          <w:sz w:val="24"/>
          <w:szCs w:val="24"/>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Persistindo a irregularidade, a contratante deverá adotar as medidas necessárias à rescisão contratual nos autos do processo administrativo correspondente, assegurada à contratada a ampla defesa.</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Havendo a efetiva execução do objeto, os pagamentos serão realizados normalmente, até que se decida pela rescisão do contrato, caso a contratada não regularize sua situação.</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Somente por motivo de economicidade, segurança nacional ou outro interesse público de alta relevância, devidamente justificado, em qualquer caso, pela máxima autoridade da contratante, não será rescindido o contrato em execução com a contratada inadimplente.</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Quando do pagamento, será efetuada a retenção tributária prevista na legislação aplicável.</w:t>
      </w:r>
    </w:p>
    <w:p w:rsidR="00400004" w:rsidRPr="00400004" w:rsidRDefault="00400004" w:rsidP="00400004">
      <w:pPr>
        <w:widowControl w:val="0"/>
        <w:numPr>
          <w:ilvl w:val="0"/>
          <w:numId w:val="3"/>
        </w:numPr>
        <w:pBdr>
          <w:left w:val="single" w:sz="4" w:space="4" w:color="auto"/>
        </w:pBdr>
        <w:autoSpaceDE w:val="0"/>
        <w:autoSpaceDN w:val="0"/>
        <w:adjustRightInd w:val="0"/>
        <w:spacing w:before="2" w:after="0"/>
        <w:ind w:left="851" w:right="186" w:hanging="709"/>
        <w:rPr>
          <w:rFonts w:ascii="Arial" w:hAnsi="Arial" w:cs="Arial"/>
          <w:b/>
          <w:sz w:val="24"/>
          <w:szCs w:val="24"/>
        </w:rPr>
      </w:pPr>
      <w:r w:rsidRPr="00400004">
        <w:rPr>
          <w:rFonts w:ascii="Arial" w:hAnsi="Arial" w:cs="Arial"/>
          <w:b/>
          <w:sz w:val="24"/>
          <w:szCs w:val="24"/>
        </w:rPr>
        <w:t xml:space="preserve">DAS </w:t>
      </w:r>
      <w:proofErr w:type="gramStart"/>
      <w:r w:rsidRPr="00400004">
        <w:rPr>
          <w:rFonts w:ascii="Arial" w:hAnsi="Arial" w:cs="Arial"/>
          <w:b/>
          <w:sz w:val="24"/>
          <w:szCs w:val="24"/>
        </w:rPr>
        <w:t>OBRIGAÇÕES CONTRATANTE</w:t>
      </w:r>
      <w:proofErr w:type="gramEnd"/>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Cumprir fielmente as disposições deste termo de referência e exigir o cumprimento de todas as obrigações assumidas pela contratada, de acordo com este termo de referência e os termos da proposta vencedora;</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 xml:space="preserve">Notificar a Contratada por escrito da ocorrência de eventuais imperfeições, falhas, defeitos de fabricação ou irregularidades constatadas na </w:t>
      </w:r>
      <w:r w:rsidRPr="00400004">
        <w:rPr>
          <w:rFonts w:ascii="Arial" w:hAnsi="Arial" w:cs="Arial"/>
          <w:sz w:val="24"/>
          <w:szCs w:val="24"/>
        </w:rPr>
        <w:lastRenderedPageBreak/>
        <w:t>mercadoria, fixando prazo para a sua correção, certificando-se de que as soluções por ela propostas sejam as mais adequadas;</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Pagar à Contratada o valor resultante da prestação do serviço, conforme definido em contrato;</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Efetuar as retenções tributárias devidas sobre o valor da fatura de serviços da Contratada.</w:t>
      </w:r>
    </w:p>
    <w:p w:rsidR="00400004" w:rsidRPr="00400004" w:rsidRDefault="00400004" w:rsidP="00400004">
      <w:pPr>
        <w:numPr>
          <w:ilvl w:val="1"/>
          <w:numId w:val="3"/>
        </w:numPr>
        <w:tabs>
          <w:tab w:val="left" w:pos="1134"/>
        </w:tabs>
        <w:spacing w:after="240"/>
        <w:ind w:left="0" w:firstLine="0"/>
        <w:jc w:val="both"/>
        <w:rPr>
          <w:rFonts w:ascii="Arial" w:hAnsi="Arial" w:cs="Arial"/>
          <w:sz w:val="24"/>
          <w:szCs w:val="24"/>
        </w:rPr>
      </w:pPr>
      <w:r w:rsidRPr="00400004">
        <w:rPr>
          <w:rFonts w:ascii="Arial" w:hAnsi="Arial" w:cs="Arial"/>
          <w:sz w:val="24"/>
          <w:szCs w:val="24"/>
        </w:rPr>
        <w:t>Zelar pelo cumprimento das obrigações da Contratada relativas à observância das normas ambientais vigentes;</w:t>
      </w:r>
    </w:p>
    <w:p w:rsidR="00400004" w:rsidRPr="00400004" w:rsidRDefault="00400004" w:rsidP="00400004">
      <w:pPr>
        <w:widowControl w:val="0"/>
        <w:numPr>
          <w:ilvl w:val="0"/>
          <w:numId w:val="3"/>
        </w:numPr>
        <w:pBdr>
          <w:left w:val="single" w:sz="4" w:space="4" w:color="auto"/>
        </w:pBdr>
        <w:autoSpaceDE w:val="0"/>
        <w:autoSpaceDN w:val="0"/>
        <w:adjustRightInd w:val="0"/>
        <w:spacing w:before="2" w:after="240"/>
        <w:ind w:left="851" w:right="186" w:hanging="709"/>
        <w:rPr>
          <w:rFonts w:ascii="Arial" w:hAnsi="Arial" w:cs="Arial"/>
          <w:b/>
          <w:sz w:val="24"/>
          <w:szCs w:val="24"/>
        </w:rPr>
      </w:pPr>
      <w:r w:rsidRPr="00400004">
        <w:rPr>
          <w:rFonts w:ascii="Arial" w:hAnsi="Arial" w:cs="Arial"/>
          <w:b/>
          <w:sz w:val="24"/>
          <w:szCs w:val="24"/>
        </w:rPr>
        <w:t>DAS OBRIGAÇÕES DA CONTRATADA</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 xml:space="preserve">Entregar os </w:t>
      </w:r>
      <w:r w:rsidR="000B4F59">
        <w:rPr>
          <w:rFonts w:ascii="Arial" w:hAnsi="Arial" w:cs="Arial"/>
          <w:sz w:val="24"/>
          <w:szCs w:val="24"/>
        </w:rPr>
        <w:t>produtos</w:t>
      </w:r>
      <w:r w:rsidRPr="00400004">
        <w:rPr>
          <w:rFonts w:ascii="Arial" w:hAnsi="Arial" w:cs="Arial"/>
          <w:sz w:val="24"/>
          <w:szCs w:val="24"/>
        </w:rPr>
        <w:t xml:space="preserve"> conforme especificações do Termo de Referência e de sua proposta, com os recursos necessários ao perfeito cumprimento das cláusulas contratuais; </w:t>
      </w:r>
    </w:p>
    <w:p w:rsidR="00400004" w:rsidRPr="00400004" w:rsidRDefault="000B4F59" w:rsidP="00400004">
      <w:pPr>
        <w:numPr>
          <w:ilvl w:val="1"/>
          <w:numId w:val="3"/>
        </w:numPr>
        <w:tabs>
          <w:tab w:val="left" w:pos="1134"/>
        </w:tabs>
        <w:spacing w:after="0"/>
        <w:ind w:left="0" w:firstLine="0"/>
        <w:jc w:val="both"/>
        <w:rPr>
          <w:rFonts w:ascii="Arial" w:hAnsi="Arial" w:cs="Arial"/>
          <w:sz w:val="24"/>
          <w:szCs w:val="24"/>
        </w:rPr>
      </w:pPr>
      <w:r>
        <w:rPr>
          <w:rFonts w:ascii="Arial" w:hAnsi="Arial" w:cs="Arial"/>
          <w:sz w:val="24"/>
          <w:szCs w:val="24"/>
        </w:rPr>
        <w:t xml:space="preserve">Entrega </w:t>
      </w:r>
      <w:r w:rsidR="00400004" w:rsidRPr="00400004">
        <w:rPr>
          <w:rFonts w:ascii="Arial" w:hAnsi="Arial" w:cs="Arial"/>
          <w:sz w:val="24"/>
          <w:szCs w:val="24"/>
        </w:rPr>
        <w:t xml:space="preserve">às suas expensas, no total ou em parte, no prazo máximo fixado no Termo de Referência, os </w:t>
      </w:r>
      <w:r>
        <w:rPr>
          <w:rFonts w:ascii="Arial" w:hAnsi="Arial" w:cs="Arial"/>
          <w:sz w:val="24"/>
          <w:szCs w:val="24"/>
        </w:rPr>
        <w:t>produtos</w:t>
      </w:r>
      <w:r w:rsidR="00400004" w:rsidRPr="00400004">
        <w:rPr>
          <w:rFonts w:ascii="Arial" w:hAnsi="Arial" w:cs="Arial"/>
          <w:sz w:val="24"/>
          <w:szCs w:val="24"/>
        </w:rPr>
        <w:t xml:space="preserve"> em que se verificarem vícios, defeitos ou incorreções resultantes da execução ou dos materiais empregados, a critério da Administração;</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 xml:space="preserve"> Arcar com a responsabilidade civil por todos e quaisquer danos materiais e morais causados pela ação ou omissão de seus empregados, trabalhadores, prepostos ou representantes, dolosa ou culposamente, ao município de </w:t>
      </w:r>
      <w:r w:rsidR="00495DEC">
        <w:rPr>
          <w:rFonts w:ascii="Arial" w:hAnsi="Arial" w:cs="Arial"/>
          <w:sz w:val="24"/>
          <w:szCs w:val="24"/>
        </w:rPr>
        <w:t>Bernardo Sayão - TO</w:t>
      </w:r>
      <w:r w:rsidRPr="00400004">
        <w:rPr>
          <w:rFonts w:ascii="Arial" w:hAnsi="Arial" w:cs="Arial"/>
          <w:sz w:val="24"/>
          <w:szCs w:val="24"/>
        </w:rPr>
        <w:t xml:space="preserve"> ou a terceiros;</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Utilizar empregados habilitados e com conhecimentos básicos dos serviços a serem executados, de conformidade com as normas e determinações em vigor;</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 xml:space="preserve"> Responsabilizar-se por todas as obrigações trabalhistas, sociais, previdenciárias, tributárias e as demais previstas na legislação específica, cuja inadimplência não transfere responsabilidade à Administração;</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 xml:space="preserve">Efetua a imediata troca dos produtos com defeitos de forma imediata e sem qualquer custo extra para </w:t>
      </w:r>
      <w:r w:rsidR="000B4F59">
        <w:rPr>
          <w:rFonts w:ascii="Arial" w:hAnsi="Arial" w:cs="Arial"/>
          <w:sz w:val="24"/>
          <w:szCs w:val="24"/>
        </w:rPr>
        <w:t>o Fundo Municipal de Assistência Social de</w:t>
      </w:r>
      <w:r w:rsidR="00521214" w:rsidRPr="00521214">
        <w:rPr>
          <w:rFonts w:ascii="Arial" w:hAnsi="Arial" w:cs="Arial"/>
          <w:sz w:val="24"/>
          <w:szCs w:val="24"/>
        </w:rPr>
        <w:t xml:space="preserve"> </w:t>
      </w:r>
      <w:r w:rsidR="00495DEC">
        <w:rPr>
          <w:rFonts w:ascii="Arial" w:hAnsi="Arial" w:cs="Arial"/>
          <w:sz w:val="24"/>
          <w:szCs w:val="24"/>
        </w:rPr>
        <w:t>Bernardo Sayão</w:t>
      </w:r>
      <w:r w:rsidR="00521214" w:rsidRPr="00521214">
        <w:rPr>
          <w:rFonts w:ascii="Arial" w:hAnsi="Arial" w:cs="Arial"/>
          <w:sz w:val="24"/>
          <w:szCs w:val="24"/>
        </w:rPr>
        <w:t xml:space="preserve"> - TO</w:t>
      </w:r>
      <w:r w:rsidRPr="00521214">
        <w:rPr>
          <w:rFonts w:ascii="Arial" w:hAnsi="Arial" w:cs="Arial"/>
          <w:sz w:val="24"/>
          <w:szCs w:val="24"/>
        </w:rPr>
        <w:t>;</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Quando não for possível a verificação da regularidade fiscal, a empresa contratada cujos empregados vinculados ao serviço sejam regidos pela CLT deverá entregar ao setor responsável pela fiscalização do contrato os seguintes documentos:</w:t>
      </w:r>
    </w:p>
    <w:p w:rsidR="00400004" w:rsidRPr="00400004" w:rsidRDefault="00400004" w:rsidP="00400004">
      <w:pPr>
        <w:numPr>
          <w:ilvl w:val="0"/>
          <w:numId w:val="2"/>
        </w:numPr>
        <w:tabs>
          <w:tab w:val="left" w:pos="1134"/>
        </w:tabs>
        <w:spacing w:after="0"/>
        <w:ind w:left="426" w:firstLine="0"/>
        <w:jc w:val="both"/>
        <w:rPr>
          <w:rFonts w:ascii="Arial" w:hAnsi="Arial" w:cs="Arial"/>
          <w:sz w:val="24"/>
          <w:szCs w:val="24"/>
        </w:rPr>
      </w:pPr>
      <w:r w:rsidRPr="00400004">
        <w:rPr>
          <w:rFonts w:ascii="Arial" w:hAnsi="Arial" w:cs="Arial"/>
          <w:sz w:val="24"/>
          <w:szCs w:val="24"/>
        </w:rPr>
        <w:t>Certidão conjunta relativa aos tributos federais e à Dívida Ativa da União/ prova de regularidade relativa à Seguridade Social;</w:t>
      </w:r>
    </w:p>
    <w:p w:rsidR="00400004" w:rsidRPr="00400004" w:rsidRDefault="00400004" w:rsidP="00400004">
      <w:pPr>
        <w:numPr>
          <w:ilvl w:val="0"/>
          <w:numId w:val="2"/>
        </w:numPr>
        <w:tabs>
          <w:tab w:val="left" w:pos="1134"/>
        </w:tabs>
        <w:spacing w:after="0"/>
        <w:ind w:left="426" w:firstLine="0"/>
        <w:jc w:val="both"/>
        <w:rPr>
          <w:rFonts w:ascii="Arial" w:hAnsi="Arial" w:cs="Arial"/>
          <w:sz w:val="24"/>
          <w:szCs w:val="24"/>
        </w:rPr>
      </w:pPr>
      <w:r w:rsidRPr="00400004">
        <w:rPr>
          <w:rFonts w:ascii="Arial" w:hAnsi="Arial" w:cs="Arial"/>
          <w:sz w:val="24"/>
          <w:szCs w:val="24"/>
        </w:rPr>
        <w:t>Certidões que comprovem a regularidade perante as Fazendas Estadual, e Municipal do domicílio ou sede do contratado;</w:t>
      </w:r>
    </w:p>
    <w:p w:rsidR="00400004" w:rsidRPr="00400004" w:rsidRDefault="00400004" w:rsidP="00400004">
      <w:pPr>
        <w:numPr>
          <w:ilvl w:val="0"/>
          <w:numId w:val="2"/>
        </w:numPr>
        <w:tabs>
          <w:tab w:val="left" w:pos="1134"/>
        </w:tabs>
        <w:spacing w:after="0"/>
        <w:ind w:left="426" w:firstLine="0"/>
        <w:jc w:val="both"/>
        <w:rPr>
          <w:rFonts w:ascii="Arial" w:hAnsi="Arial" w:cs="Arial"/>
          <w:sz w:val="24"/>
          <w:szCs w:val="24"/>
        </w:rPr>
      </w:pPr>
      <w:r w:rsidRPr="00400004">
        <w:rPr>
          <w:rFonts w:ascii="Arial" w:hAnsi="Arial" w:cs="Arial"/>
          <w:sz w:val="24"/>
          <w:szCs w:val="24"/>
        </w:rPr>
        <w:t>Certidão de Regularidade do FGTS – CRF;</w:t>
      </w:r>
    </w:p>
    <w:p w:rsidR="00400004" w:rsidRPr="00400004" w:rsidRDefault="00400004" w:rsidP="00400004">
      <w:pPr>
        <w:numPr>
          <w:ilvl w:val="0"/>
          <w:numId w:val="2"/>
        </w:numPr>
        <w:tabs>
          <w:tab w:val="left" w:pos="1134"/>
        </w:tabs>
        <w:spacing w:after="0"/>
        <w:ind w:left="426" w:firstLine="0"/>
        <w:jc w:val="both"/>
        <w:rPr>
          <w:rFonts w:ascii="Arial" w:hAnsi="Arial" w:cs="Arial"/>
          <w:sz w:val="24"/>
          <w:szCs w:val="24"/>
        </w:rPr>
      </w:pPr>
      <w:r w:rsidRPr="00400004">
        <w:rPr>
          <w:rFonts w:ascii="Arial" w:hAnsi="Arial" w:cs="Arial"/>
          <w:sz w:val="24"/>
          <w:szCs w:val="24"/>
        </w:rPr>
        <w:t>Certidão Negativa de Débitos Trabalhistas – CNDT;</w:t>
      </w:r>
    </w:p>
    <w:p w:rsidR="00400004" w:rsidRPr="00400004" w:rsidRDefault="00400004" w:rsidP="00400004">
      <w:pPr>
        <w:numPr>
          <w:ilvl w:val="1"/>
          <w:numId w:val="3"/>
        </w:numPr>
        <w:tabs>
          <w:tab w:val="left" w:pos="1134"/>
        </w:tabs>
        <w:spacing w:after="240"/>
        <w:ind w:left="0" w:firstLine="0"/>
        <w:jc w:val="both"/>
        <w:rPr>
          <w:rFonts w:ascii="Arial" w:hAnsi="Arial" w:cs="Arial"/>
          <w:sz w:val="24"/>
          <w:szCs w:val="24"/>
        </w:rPr>
      </w:pPr>
      <w:r w:rsidRPr="00400004">
        <w:rPr>
          <w:rFonts w:ascii="Arial" w:hAnsi="Arial" w:cs="Arial"/>
          <w:sz w:val="24"/>
          <w:szCs w:val="24"/>
        </w:rPr>
        <w:lastRenderedPageBreak/>
        <w:t>Serão de exclusiva responsabilidade da Contratada eventuais erros/equívocos no dimensionamento da proposta.</w:t>
      </w:r>
    </w:p>
    <w:p w:rsidR="00400004" w:rsidRPr="00400004" w:rsidRDefault="00400004" w:rsidP="00400004">
      <w:pPr>
        <w:widowControl w:val="0"/>
        <w:numPr>
          <w:ilvl w:val="0"/>
          <w:numId w:val="3"/>
        </w:numPr>
        <w:pBdr>
          <w:left w:val="single" w:sz="4" w:space="4" w:color="auto"/>
        </w:pBdr>
        <w:autoSpaceDE w:val="0"/>
        <w:autoSpaceDN w:val="0"/>
        <w:adjustRightInd w:val="0"/>
        <w:spacing w:before="2" w:after="240"/>
        <w:ind w:left="851" w:right="186" w:hanging="709"/>
        <w:rPr>
          <w:rFonts w:ascii="Arial" w:hAnsi="Arial" w:cs="Arial"/>
          <w:b/>
          <w:sz w:val="24"/>
          <w:szCs w:val="24"/>
        </w:rPr>
      </w:pPr>
      <w:r w:rsidRPr="00400004">
        <w:rPr>
          <w:rFonts w:ascii="Arial" w:hAnsi="Arial" w:cs="Arial"/>
          <w:b/>
          <w:sz w:val="24"/>
          <w:szCs w:val="24"/>
        </w:rPr>
        <w:t>DA SUBCONTRATAÇÃO</w:t>
      </w:r>
    </w:p>
    <w:p w:rsidR="00400004" w:rsidRPr="00400004" w:rsidRDefault="00400004" w:rsidP="00400004">
      <w:pPr>
        <w:numPr>
          <w:ilvl w:val="1"/>
          <w:numId w:val="3"/>
        </w:numPr>
        <w:tabs>
          <w:tab w:val="left" w:pos="1134"/>
        </w:tabs>
        <w:spacing w:after="240"/>
        <w:ind w:left="0" w:firstLine="0"/>
        <w:jc w:val="both"/>
        <w:rPr>
          <w:rFonts w:ascii="Arial" w:hAnsi="Arial" w:cs="Arial"/>
          <w:sz w:val="24"/>
          <w:szCs w:val="24"/>
        </w:rPr>
      </w:pPr>
      <w:r w:rsidRPr="00400004">
        <w:rPr>
          <w:rFonts w:ascii="Arial" w:hAnsi="Arial" w:cs="Arial"/>
          <w:sz w:val="24"/>
          <w:szCs w:val="24"/>
        </w:rPr>
        <w:t>Não será permitida a subcontratação do objeto deste do futuro contrato, comente com autorização da contratante.</w:t>
      </w:r>
    </w:p>
    <w:p w:rsidR="00400004" w:rsidRPr="00400004" w:rsidRDefault="00400004" w:rsidP="00400004">
      <w:pPr>
        <w:widowControl w:val="0"/>
        <w:numPr>
          <w:ilvl w:val="0"/>
          <w:numId w:val="3"/>
        </w:numPr>
        <w:pBdr>
          <w:left w:val="single" w:sz="4" w:space="4" w:color="auto"/>
        </w:pBdr>
        <w:autoSpaceDE w:val="0"/>
        <w:autoSpaceDN w:val="0"/>
        <w:adjustRightInd w:val="0"/>
        <w:spacing w:before="2" w:after="240"/>
        <w:ind w:left="851" w:right="186" w:hanging="709"/>
        <w:rPr>
          <w:rFonts w:ascii="Arial" w:hAnsi="Arial" w:cs="Arial"/>
          <w:b/>
          <w:sz w:val="24"/>
          <w:szCs w:val="24"/>
        </w:rPr>
      </w:pPr>
      <w:r w:rsidRPr="00400004">
        <w:rPr>
          <w:rFonts w:ascii="Arial" w:hAnsi="Arial" w:cs="Arial"/>
          <w:b/>
          <w:sz w:val="24"/>
          <w:szCs w:val="24"/>
        </w:rPr>
        <w:t>DAS PENALIDADES</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Sem prejuízo da cobrança de perdas e danos, a CONTRATANTE poderá sujeitar a CONTRATADA às penalidades seguintes:</w:t>
      </w:r>
    </w:p>
    <w:p w:rsidR="00400004" w:rsidRPr="00400004" w:rsidRDefault="00400004" w:rsidP="00400004">
      <w:pPr>
        <w:numPr>
          <w:ilvl w:val="2"/>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Pelo atraso injustificado multa de mora de até 10% (dez por cento) sobre o valor adjudicado;</w:t>
      </w:r>
    </w:p>
    <w:p w:rsidR="00400004" w:rsidRPr="00400004" w:rsidRDefault="00400004" w:rsidP="00400004">
      <w:pPr>
        <w:numPr>
          <w:ilvl w:val="2"/>
          <w:numId w:val="3"/>
        </w:numPr>
        <w:tabs>
          <w:tab w:val="left" w:pos="1134"/>
        </w:tabs>
        <w:spacing w:after="240"/>
        <w:ind w:left="0" w:firstLine="0"/>
        <w:jc w:val="both"/>
        <w:rPr>
          <w:rFonts w:ascii="Arial" w:hAnsi="Arial" w:cs="Arial"/>
          <w:sz w:val="24"/>
          <w:szCs w:val="24"/>
        </w:rPr>
      </w:pPr>
      <w:r w:rsidRPr="00400004">
        <w:rPr>
          <w:rFonts w:ascii="Arial" w:hAnsi="Arial" w:cs="Arial"/>
          <w:sz w:val="24"/>
          <w:szCs w:val="24"/>
        </w:rPr>
        <w:t>Pela inexecução total ou parcial das condições deste Instrumento, a Administração poderá garantida a ampla defesa, aplicar as seguintes sanções:</w:t>
      </w:r>
    </w:p>
    <w:p w:rsidR="00400004" w:rsidRPr="00400004" w:rsidRDefault="00400004" w:rsidP="00400004">
      <w:pPr>
        <w:numPr>
          <w:ilvl w:val="1"/>
          <w:numId w:val="3"/>
        </w:numPr>
        <w:tabs>
          <w:tab w:val="left" w:pos="1134"/>
        </w:tabs>
        <w:spacing w:after="240"/>
        <w:ind w:left="0" w:firstLine="0"/>
        <w:jc w:val="both"/>
        <w:rPr>
          <w:rFonts w:ascii="Arial" w:hAnsi="Arial" w:cs="Arial"/>
          <w:b/>
          <w:sz w:val="24"/>
          <w:szCs w:val="24"/>
        </w:rPr>
      </w:pPr>
      <w:r w:rsidRPr="00400004">
        <w:rPr>
          <w:rFonts w:ascii="Arial" w:hAnsi="Arial" w:cs="Arial"/>
          <w:b/>
          <w:sz w:val="24"/>
          <w:szCs w:val="24"/>
        </w:rPr>
        <w:t>Advertência;</w:t>
      </w:r>
    </w:p>
    <w:p w:rsidR="00400004" w:rsidRPr="00400004" w:rsidRDefault="00400004" w:rsidP="00400004">
      <w:pPr>
        <w:numPr>
          <w:ilvl w:val="2"/>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Multa de até 10% (dez por cento) sobre o valor adjudicado, a juízo da Administração;</w:t>
      </w:r>
    </w:p>
    <w:p w:rsidR="00400004" w:rsidRPr="00400004" w:rsidRDefault="00400004" w:rsidP="00400004">
      <w:pPr>
        <w:numPr>
          <w:ilvl w:val="2"/>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Suspensão temporária de participação em licitações e impedimento de contratar com a Administração por prazo não superior a 02 (dois) anos;</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Declaração de inidoneidade para licitar ou contratar com a Administração Pública, enquanto perdurarem os motivos determinantes da punição ou até que seja promovida sua reabilitação, perante a própria autoridade que aplicou a penalidade, A aplicação das multas e penalidades dependerá de Processo Administrativo com ampla defesa, sendo exigível desde a data do ato, fato ou omissão que lhe tiver dado causa.</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As multas e penalidades serão aplicadas sem prejuízo das sanções cíveis ou penais cabíveis ou de processo administrativo.</w:t>
      </w:r>
    </w:p>
    <w:p w:rsidR="00400004" w:rsidRPr="00400004" w:rsidRDefault="00400004" w:rsidP="00400004">
      <w:pPr>
        <w:numPr>
          <w:ilvl w:val="1"/>
          <w:numId w:val="3"/>
        </w:numPr>
        <w:tabs>
          <w:tab w:val="left" w:pos="1134"/>
        </w:tabs>
        <w:spacing w:after="240"/>
        <w:ind w:left="0" w:firstLine="0"/>
        <w:jc w:val="both"/>
        <w:rPr>
          <w:rFonts w:ascii="Arial" w:hAnsi="Arial" w:cs="Arial"/>
          <w:sz w:val="24"/>
          <w:szCs w:val="24"/>
        </w:rPr>
      </w:pPr>
      <w:r w:rsidRPr="00400004">
        <w:rPr>
          <w:rFonts w:ascii="Arial" w:hAnsi="Arial" w:cs="Arial"/>
          <w:sz w:val="24"/>
          <w:szCs w:val="24"/>
        </w:rPr>
        <w:t>Após encerramento do Processo Administrativo, a CONTRATADA será notificada, por escrito para recolhimento da multa aplicada, o que deverá ocorrer no prazo de 10 (dez) dias úteis dessa notificação.</w:t>
      </w:r>
    </w:p>
    <w:p w:rsidR="00400004" w:rsidRPr="00400004" w:rsidRDefault="00400004" w:rsidP="00400004">
      <w:pPr>
        <w:widowControl w:val="0"/>
        <w:numPr>
          <w:ilvl w:val="0"/>
          <w:numId w:val="3"/>
        </w:numPr>
        <w:pBdr>
          <w:left w:val="single" w:sz="4" w:space="4" w:color="auto"/>
        </w:pBdr>
        <w:autoSpaceDE w:val="0"/>
        <w:autoSpaceDN w:val="0"/>
        <w:adjustRightInd w:val="0"/>
        <w:spacing w:before="2" w:after="240"/>
        <w:ind w:left="851" w:right="186" w:hanging="709"/>
        <w:rPr>
          <w:rFonts w:ascii="Arial" w:hAnsi="Arial" w:cs="Arial"/>
          <w:b/>
          <w:sz w:val="24"/>
          <w:szCs w:val="24"/>
        </w:rPr>
      </w:pPr>
      <w:r w:rsidRPr="00400004">
        <w:rPr>
          <w:rFonts w:ascii="Arial" w:hAnsi="Arial" w:cs="Arial"/>
          <w:b/>
          <w:sz w:val="24"/>
          <w:szCs w:val="24"/>
        </w:rPr>
        <w:t>DA SUSTENTABILIDADE AMBIENTAL</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 xml:space="preserve">O(s) </w:t>
      </w:r>
      <w:r w:rsidR="00495DEC">
        <w:rPr>
          <w:rFonts w:ascii="Arial" w:hAnsi="Arial" w:cs="Arial"/>
          <w:sz w:val="24"/>
          <w:szCs w:val="24"/>
        </w:rPr>
        <w:t>serviços</w:t>
      </w:r>
      <w:r w:rsidRPr="00400004">
        <w:rPr>
          <w:rFonts w:ascii="Arial" w:hAnsi="Arial" w:cs="Arial"/>
          <w:sz w:val="24"/>
          <w:szCs w:val="24"/>
        </w:rPr>
        <w:t xml:space="preserve">(s) </w:t>
      </w:r>
      <w:proofErr w:type="gramStart"/>
      <w:r w:rsidR="0006247F">
        <w:rPr>
          <w:rFonts w:ascii="Arial" w:hAnsi="Arial" w:cs="Arial"/>
          <w:sz w:val="24"/>
          <w:szCs w:val="24"/>
        </w:rPr>
        <w:t>deverá</w:t>
      </w:r>
      <w:r w:rsidR="0006247F" w:rsidRPr="00400004">
        <w:rPr>
          <w:rFonts w:ascii="Arial" w:hAnsi="Arial" w:cs="Arial"/>
          <w:sz w:val="24"/>
          <w:szCs w:val="24"/>
        </w:rPr>
        <w:t>(</w:t>
      </w:r>
      <w:proofErr w:type="spellStart"/>
      <w:proofErr w:type="gramEnd"/>
      <w:r w:rsidRPr="00400004">
        <w:rPr>
          <w:rFonts w:ascii="Arial" w:hAnsi="Arial" w:cs="Arial"/>
          <w:sz w:val="24"/>
          <w:szCs w:val="24"/>
        </w:rPr>
        <w:t>ão</w:t>
      </w:r>
      <w:proofErr w:type="spellEnd"/>
      <w:r w:rsidRPr="00400004">
        <w:rPr>
          <w:rFonts w:ascii="Arial" w:hAnsi="Arial" w:cs="Arial"/>
          <w:sz w:val="24"/>
          <w:szCs w:val="24"/>
        </w:rPr>
        <w:t>) respeitar as normas e os princípios ambientais, minimizando ou mitigando os efeitos dos danos ao meio ambiente, utilizando tecnologias e materiais ecologicamente corretos, atendendo aos critérios de sustentabilidade assim como:</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lastRenderedPageBreak/>
        <w:t>A utilização de produtos de limpeza e conservação de superfícies e objetos inanimados que obedeçam às classificações e especificações determinadas pela ANVISA;</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Adoção de medidas para evitar o desperdício de água tratada;</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 xml:space="preserve">Observação da Resolução CONAMA nº 20, de </w:t>
      </w:r>
      <w:proofErr w:type="gramStart"/>
      <w:r w:rsidRPr="00400004">
        <w:rPr>
          <w:rFonts w:ascii="Arial" w:hAnsi="Arial" w:cs="Arial"/>
          <w:sz w:val="24"/>
          <w:szCs w:val="24"/>
        </w:rPr>
        <w:t>7</w:t>
      </w:r>
      <w:proofErr w:type="gramEnd"/>
      <w:r w:rsidRPr="00400004">
        <w:rPr>
          <w:rFonts w:ascii="Arial" w:hAnsi="Arial" w:cs="Arial"/>
          <w:sz w:val="24"/>
          <w:szCs w:val="24"/>
        </w:rPr>
        <w:t xml:space="preserve"> de dezembro de 1994, quanto aos equipamentos de limpeza que gerem ruído no seu funcionamento;</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Fornecimento aos empregados dos equipamentos de segurança que se fizerem necessários para a execução de serviços;</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Previsão da destinação ambiental adequada materiais usados ou inservíveis, segundo disposto na Resolução CONAMA nº 257, de 30 de junho de 1999;</w:t>
      </w:r>
    </w:p>
    <w:p w:rsidR="00400004" w:rsidRPr="00400004" w:rsidRDefault="00400004" w:rsidP="00400004">
      <w:pPr>
        <w:numPr>
          <w:ilvl w:val="1"/>
          <w:numId w:val="3"/>
        </w:numPr>
        <w:tabs>
          <w:tab w:val="left" w:pos="1134"/>
        </w:tabs>
        <w:spacing w:after="0"/>
        <w:ind w:left="0" w:firstLine="0"/>
        <w:jc w:val="both"/>
        <w:rPr>
          <w:rFonts w:ascii="Arial" w:hAnsi="Arial" w:cs="Arial"/>
          <w:sz w:val="24"/>
          <w:szCs w:val="24"/>
        </w:rPr>
      </w:pPr>
      <w:r w:rsidRPr="00400004">
        <w:rPr>
          <w:rFonts w:ascii="Arial" w:hAnsi="Arial" w:cs="Arial"/>
          <w:sz w:val="24"/>
          <w:szCs w:val="24"/>
        </w:rPr>
        <w:t>Esta contratação observará em todas as fases do procedimento licitatório as orientações e normas voltadas para a sustentabilidade ambiental.</w:t>
      </w:r>
    </w:p>
    <w:p w:rsidR="00400004" w:rsidRPr="00400004" w:rsidRDefault="00400004" w:rsidP="00400004">
      <w:pPr>
        <w:spacing w:line="360" w:lineRule="auto"/>
        <w:ind w:firstLine="708"/>
        <w:jc w:val="right"/>
        <w:rPr>
          <w:rFonts w:ascii="Arial" w:hAnsi="Arial" w:cs="Arial"/>
          <w:sz w:val="24"/>
          <w:szCs w:val="24"/>
        </w:rPr>
      </w:pPr>
    </w:p>
    <w:p w:rsidR="00400004" w:rsidRPr="00400004" w:rsidRDefault="000B4F59" w:rsidP="00400004">
      <w:pPr>
        <w:spacing w:line="360" w:lineRule="auto"/>
        <w:ind w:firstLine="708"/>
        <w:jc w:val="right"/>
        <w:rPr>
          <w:rFonts w:ascii="Arial" w:hAnsi="Arial" w:cs="Arial"/>
          <w:sz w:val="24"/>
          <w:szCs w:val="24"/>
        </w:rPr>
      </w:pPr>
      <w:r>
        <w:rPr>
          <w:rFonts w:ascii="Arial" w:hAnsi="Arial" w:cs="Arial"/>
          <w:sz w:val="24"/>
          <w:szCs w:val="24"/>
        </w:rPr>
        <w:t>Bernardo Sayão</w:t>
      </w:r>
      <w:r w:rsidR="00521214">
        <w:rPr>
          <w:rFonts w:ascii="Arial" w:hAnsi="Arial" w:cs="Arial"/>
          <w:sz w:val="24"/>
          <w:szCs w:val="24"/>
        </w:rPr>
        <w:t xml:space="preserve"> – TO, </w:t>
      </w:r>
      <w:r w:rsidR="00A26646">
        <w:rPr>
          <w:rFonts w:ascii="Arial" w:hAnsi="Arial" w:cs="Arial"/>
          <w:sz w:val="24"/>
          <w:szCs w:val="24"/>
        </w:rPr>
        <w:t>11</w:t>
      </w:r>
      <w:bookmarkStart w:id="2" w:name="_GoBack"/>
      <w:bookmarkEnd w:id="2"/>
      <w:r>
        <w:rPr>
          <w:rFonts w:ascii="Arial" w:hAnsi="Arial" w:cs="Arial"/>
          <w:sz w:val="24"/>
          <w:szCs w:val="24"/>
        </w:rPr>
        <w:t xml:space="preserve"> de abril de 2023</w:t>
      </w:r>
      <w:r w:rsidR="00495DEC">
        <w:rPr>
          <w:rFonts w:ascii="Arial" w:hAnsi="Arial" w:cs="Arial"/>
          <w:sz w:val="24"/>
          <w:szCs w:val="24"/>
        </w:rPr>
        <w:t>.</w:t>
      </w:r>
    </w:p>
    <w:p w:rsidR="00400004" w:rsidRPr="00400004" w:rsidRDefault="00400004" w:rsidP="00400004">
      <w:pPr>
        <w:spacing w:line="360" w:lineRule="auto"/>
        <w:ind w:firstLine="708"/>
        <w:jc w:val="right"/>
        <w:rPr>
          <w:rFonts w:ascii="Arial" w:hAnsi="Arial" w:cs="Arial"/>
          <w:sz w:val="24"/>
          <w:szCs w:val="24"/>
        </w:rPr>
      </w:pPr>
    </w:p>
    <w:p w:rsidR="00A158A3" w:rsidRPr="00A158A3" w:rsidRDefault="00A158A3" w:rsidP="00A158A3">
      <w:pPr>
        <w:pStyle w:val="Corpodetexto"/>
        <w:spacing w:after="0"/>
        <w:ind w:right="208"/>
        <w:jc w:val="center"/>
        <w:rPr>
          <w:rFonts w:ascii="Arial" w:hAnsi="Arial" w:cs="Arial"/>
          <w:bCs/>
          <w:color w:val="000000"/>
        </w:rPr>
      </w:pPr>
      <w:r w:rsidRPr="00A158A3">
        <w:rPr>
          <w:rFonts w:ascii="Arial" w:hAnsi="Arial" w:cs="Arial"/>
          <w:bCs/>
          <w:color w:val="000000"/>
        </w:rPr>
        <w:t>ELISZANGELA ALVINO DA SILVA ANTUNES</w:t>
      </w:r>
    </w:p>
    <w:p w:rsidR="00400004" w:rsidRPr="00A158A3" w:rsidRDefault="00A158A3" w:rsidP="00FE1D61">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shd w:val="clear" w:color="auto" w:fill="FFFFFF"/>
        </w:rPr>
        <w:t>Secretária Municipal de Assistência Social</w:t>
      </w:r>
    </w:p>
    <w:sectPr w:rsidR="00400004" w:rsidRPr="00A158A3" w:rsidSect="000A2BF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4A" w:rsidRDefault="007B394A" w:rsidP="00AD35DC">
      <w:pPr>
        <w:spacing w:after="0" w:line="240" w:lineRule="auto"/>
      </w:pPr>
      <w:r>
        <w:separator/>
      </w:r>
    </w:p>
  </w:endnote>
  <w:endnote w:type="continuationSeparator" w:id="0">
    <w:p w:rsidR="007B394A" w:rsidRDefault="007B394A" w:rsidP="00AD3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F77" w:rsidRDefault="007B3F77" w:rsidP="007B3F77">
    <w:pPr>
      <w:pStyle w:val="Rodap"/>
      <w:jc w:val="center"/>
    </w:pPr>
    <w:r>
      <w:t xml:space="preserve">End.: </w:t>
    </w:r>
    <w:r>
      <w:rPr>
        <w:rFonts w:ascii="Arial" w:hAnsi="Arial"/>
        <w:sz w:val="20"/>
      </w:rPr>
      <w:t>Avenida Antônio Pesconi</w:t>
    </w:r>
    <w:r w:rsidRPr="00C97423">
      <w:rPr>
        <w:rFonts w:ascii="Arial" w:hAnsi="Arial"/>
        <w:sz w:val="20"/>
      </w:rPr>
      <w:t>, nº 378 – Centro, Bernardo Sayão TO- CEP 77755-</w:t>
    </w:r>
    <w:proofErr w:type="gramStart"/>
    <w:r w:rsidRPr="00C97423">
      <w:rPr>
        <w:rFonts w:ascii="Arial" w:hAnsi="Arial"/>
        <w:sz w:val="20"/>
      </w:rPr>
      <w:t>000</w:t>
    </w:r>
    <w:proofErr w:type="gramEnd"/>
  </w:p>
  <w:p w:rsidR="00AD35DC" w:rsidRDefault="00AD35D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4A" w:rsidRDefault="007B394A" w:rsidP="00AD35DC">
      <w:pPr>
        <w:spacing w:after="0" w:line="240" w:lineRule="auto"/>
      </w:pPr>
      <w:r>
        <w:separator/>
      </w:r>
    </w:p>
  </w:footnote>
  <w:footnote w:type="continuationSeparator" w:id="0">
    <w:p w:rsidR="007B394A" w:rsidRDefault="007B394A" w:rsidP="00AD3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FBF" w:rsidRPr="00B82E74" w:rsidRDefault="00EA0FBF" w:rsidP="00EA0FBF">
    <w:pPr>
      <w:keepNext/>
      <w:spacing w:after="0" w:line="240" w:lineRule="auto"/>
      <w:ind w:right="-81"/>
      <w:outlineLvl w:val="0"/>
      <w:rPr>
        <w:rFonts w:ascii="Arial" w:hAnsi="Arial" w:cs="Arial"/>
        <w:b/>
        <w:bCs/>
        <w:color w:val="0000FF"/>
        <w:kern w:val="32"/>
        <w:szCs w:val="32"/>
      </w:rPr>
    </w:pPr>
    <w:r>
      <w:rPr>
        <w:rFonts w:ascii="Verdana" w:hAnsi="Verdana" w:cs="Arial"/>
        <w:noProof/>
        <w:sz w:val="20"/>
      </w:rPr>
      <w:drawing>
        <wp:anchor distT="0" distB="0" distL="114300" distR="114300" simplePos="0" relativeHeight="251659264" behindDoc="0" locked="0" layoutInCell="1" allowOverlap="1" wp14:anchorId="72217471" wp14:editId="087D0672">
          <wp:simplePos x="0" y="0"/>
          <wp:positionH relativeFrom="column">
            <wp:posOffset>2136775</wp:posOffset>
          </wp:positionH>
          <wp:positionV relativeFrom="paragraph">
            <wp:posOffset>-179070</wp:posOffset>
          </wp:positionV>
          <wp:extent cx="1195070" cy="376555"/>
          <wp:effectExtent l="0" t="0" r="5080" b="444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7807D8">
      <w:tab/>
    </w:r>
  </w:p>
  <w:p w:rsidR="00EA0FBF" w:rsidRPr="00C97423" w:rsidRDefault="00EA0FBF" w:rsidP="00EA0FBF">
    <w:pPr>
      <w:spacing w:after="0" w:line="240" w:lineRule="auto"/>
      <w:jc w:val="center"/>
      <w:rPr>
        <w:rFonts w:ascii="Calibri" w:hAnsi="Calibri" w:cs="Arial"/>
        <w:b/>
        <w:bCs/>
      </w:rPr>
    </w:pPr>
    <w:r w:rsidRPr="00C97423">
      <w:rPr>
        <w:rFonts w:ascii="Calibri" w:hAnsi="Calibri" w:cs="Arial"/>
        <w:b/>
        <w:bCs/>
      </w:rPr>
      <w:t>ESTADO DO TOCANTINS</w:t>
    </w:r>
  </w:p>
  <w:p w:rsidR="00EA0FBF" w:rsidRDefault="00EA0FBF" w:rsidP="00EA0FBF">
    <w:pPr>
      <w:pStyle w:val="Ttulo1"/>
    </w:pPr>
    <w:r w:rsidRPr="00C97423">
      <w:t>PREFEITURA MUNICIPAL DE BERNARDO SAYÃO</w:t>
    </w:r>
  </w:p>
  <w:p w:rsidR="003221B6" w:rsidRPr="003221B6" w:rsidRDefault="003221B6" w:rsidP="003221B6">
    <w:pPr>
      <w:jc w:val="center"/>
      <w:rPr>
        <w:b/>
      </w:rPr>
    </w:pPr>
    <w:r w:rsidRPr="003221B6">
      <w:rPr>
        <w:b/>
      </w:rPr>
      <w:t>FUNDO MUNICIPAL DE ASSISTÊNCIA SOCIAL</w:t>
    </w:r>
  </w:p>
  <w:p w:rsidR="00AD35DC" w:rsidRDefault="00AD35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01CA4"/>
    <w:multiLevelType w:val="multilevel"/>
    <w:tmpl w:val="3102755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2B453807"/>
    <w:multiLevelType w:val="multilevel"/>
    <w:tmpl w:val="8A905F1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49E52D34"/>
    <w:multiLevelType w:val="multilevel"/>
    <w:tmpl w:val="6C98745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5FE81261"/>
    <w:multiLevelType w:val="hybridMultilevel"/>
    <w:tmpl w:val="F6F81966"/>
    <w:lvl w:ilvl="0" w:tplc="D9D67524">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468"/>
    <w:rsid w:val="00000758"/>
    <w:rsid w:val="00006697"/>
    <w:rsid w:val="0006247F"/>
    <w:rsid w:val="00074C8F"/>
    <w:rsid w:val="00081A66"/>
    <w:rsid w:val="0009199A"/>
    <w:rsid w:val="000928E6"/>
    <w:rsid w:val="000A2BF5"/>
    <w:rsid w:val="000B1715"/>
    <w:rsid w:val="000B4F59"/>
    <w:rsid w:val="000E2DE2"/>
    <w:rsid w:val="00137F07"/>
    <w:rsid w:val="00141390"/>
    <w:rsid w:val="00173137"/>
    <w:rsid w:val="001939CB"/>
    <w:rsid w:val="001A7390"/>
    <w:rsid w:val="001E2009"/>
    <w:rsid w:val="001F2C4F"/>
    <w:rsid w:val="00221AE9"/>
    <w:rsid w:val="00244DC5"/>
    <w:rsid w:val="002C12E9"/>
    <w:rsid w:val="002F2EBE"/>
    <w:rsid w:val="003221B6"/>
    <w:rsid w:val="00352EB5"/>
    <w:rsid w:val="003B199C"/>
    <w:rsid w:val="003B3D79"/>
    <w:rsid w:val="003C7CFC"/>
    <w:rsid w:val="003F1D21"/>
    <w:rsid w:val="00400004"/>
    <w:rsid w:val="0041504A"/>
    <w:rsid w:val="004417BC"/>
    <w:rsid w:val="00452377"/>
    <w:rsid w:val="00455AE5"/>
    <w:rsid w:val="00495DEC"/>
    <w:rsid w:val="004B0C3B"/>
    <w:rsid w:val="004D7E58"/>
    <w:rsid w:val="004F15B6"/>
    <w:rsid w:val="0052052A"/>
    <w:rsid w:val="00521214"/>
    <w:rsid w:val="0054434A"/>
    <w:rsid w:val="00564930"/>
    <w:rsid w:val="00564FDB"/>
    <w:rsid w:val="005C12A7"/>
    <w:rsid w:val="005D5F3A"/>
    <w:rsid w:val="005F2C4D"/>
    <w:rsid w:val="005F5CF7"/>
    <w:rsid w:val="0062446A"/>
    <w:rsid w:val="006B7105"/>
    <w:rsid w:val="0070751E"/>
    <w:rsid w:val="007462C6"/>
    <w:rsid w:val="00780720"/>
    <w:rsid w:val="007807D8"/>
    <w:rsid w:val="007B394A"/>
    <w:rsid w:val="007B3F77"/>
    <w:rsid w:val="007B5155"/>
    <w:rsid w:val="007E5C26"/>
    <w:rsid w:val="007E610B"/>
    <w:rsid w:val="00815328"/>
    <w:rsid w:val="0085212D"/>
    <w:rsid w:val="0087556C"/>
    <w:rsid w:val="00895532"/>
    <w:rsid w:val="008959BD"/>
    <w:rsid w:val="00896579"/>
    <w:rsid w:val="008B5F8A"/>
    <w:rsid w:val="008D458A"/>
    <w:rsid w:val="008F3D44"/>
    <w:rsid w:val="00903EC4"/>
    <w:rsid w:val="009A6D5E"/>
    <w:rsid w:val="009B039E"/>
    <w:rsid w:val="009E25C5"/>
    <w:rsid w:val="009F2718"/>
    <w:rsid w:val="00A158A3"/>
    <w:rsid w:val="00A22631"/>
    <w:rsid w:val="00A26646"/>
    <w:rsid w:val="00A50415"/>
    <w:rsid w:val="00A67101"/>
    <w:rsid w:val="00A82835"/>
    <w:rsid w:val="00AB134B"/>
    <w:rsid w:val="00AB718F"/>
    <w:rsid w:val="00AC696A"/>
    <w:rsid w:val="00AD35DC"/>
    <w:rsid w:val="00AF2F1E"/>
    <w:rsid w:val="00AF79E6"/>
    <w:rsid w:val="00B31516"/>
    <w:rsid w:val="00B33765"/>
    <w:rsid w:val="00B55058"/>
    <w:rsid w:val="00B611AA"/>
    <w:rsid w:val="00B906E9"/>
    <w:rsid w:val="00B9746F"/>
    <w:rsid w:val="00BC1C73"/>
    <w:rsid w:val="00BE6468"/>
    <w:rsid w:val="00C070CF"/>
    <w:rsid w:val="00C10584"/>
    <w:rsid w:val="00C6265E"/>
    <w:rsid w:val="00C651FA"/>
    <w:rsid w:val="00C94290"/>
    <w:rsid w:val="00CA638E"/>
    <w:rsid w:val="00CB125E"/>
    <w:rsid w:val="00CB3914"/>
    <w:rsid w:val="00CC7774"/>
    <w:rsid w:val="00D2410B"/>
    <w:rsid w:val="00D83654"/>
    <w:rsid w:val="00D96E2C"/>
    <w:rsid w:val="00DB1C9B"/>
    <w:rsid w:val="00DE58A2"/>
    <w:rsid w:val="00E3235D"/>
    <w:rsid w:val="00E5103B"/>
    <w:rsid w:val="00E62AAD"/>
    <w:rsid w:val="00E70BF0"/>
    <w:rsid w:val="00E727B5"/>
    <w:rsid w:val="00E7403D"/>
    <w:rsid w:val="00E97A61"/>
    <w:rsid w:val="00EA0FBF"/>
    <w:rsid w:val="00EA7A1F"/>
    <w:rsid w:val="00ED1E98"/>
    <w:rsid w:val="00F54082"/>
    <w:rsid w:val="00F70152"/>
    <w:rsid w:val="00FA38A1"/>
    <w:rsid w:val="00FB4A7F"/>
    <w:rsid w:val="00FE1D61"/>
    <w:rsid w:val="00FE69D2"/>
    <w:rsid w:val="00FF50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A0FBF"/>
    <w:pPr>
      <w:keepNext/>
      <w:spacing w:after="0" w:line="240" w:lineRule="auto"/>
      <w:jc w:val="center"/>
      <w:outlineLvl w:val="0"/>
    </w:pPr>
    <w:rPr>
      <w:rFonts w:ascii="Calibri" w:hAnsi="Calibri" w:cs="Arial"/>
      <w:b/>
      <w:bCs/>
    </w:rPr>
  </w:style>
  <w:style w:type="paragraph" w:styleId="Ttulo2">
    <w:name w:val="heading 2"/>
    <w:basedOn w:val="Normal"/>
    <w:next w:val="Normal"/>
    <w:link w:val="Ttulo2Char"/>
    <w:unhideWhenUsed/>
    <w:qFormat/>
    <w:rsid w:val="00564FDB"/>
    <w:pPr>
      <w:keepNext/>
      <w:suppressAutoHyphens/>
      <w:spacing w:before="240" w:after="60" w:line="240" w:lineRule="auto"/>
      <w:outlineLvl w:val="1"/>
    </w:pPr>
    <w:rPr>
      <w:rFonts w:ascii="Cambria" w:eastAsia="Times New Roman" w:hAnsi="Cambria" w:cs="Times New Roman"/>
      <w:b/>
      <w:bCs/>
      <w:i/>
      <w:iCs/>
      <w:sz w:val="28"/>
      <w:szCs w:val="28"/>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E6468"/>
    <w:pPr>
      <w:spacing w:after="0" w:line="240" w:lineRule="auto"/>
    </w:pPr>
  </w:style>
  <w:style w:type="paragraph" w:styleId="Lista">
    <w:name w:val="List"/>
    <w:basedOn w:val="Normal"/>
    <w:rsid w:val="00BE6468"/>
    <w:pPr>
      <w:spacing w:after="0" w:line="240" w:lineRule="auto"/>
      <w:ind w:left="283" w:hanging="283"/>
      <w:contextualSpacing/>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AD35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35DC"/>
  </w:style>
  <w:style w:type="paragraph" w:styleId="Rodap">
    <w:name w:val="footer"/>
    <w:basedOn w:val="Normal"/>
    <w:link w:val="RodapChar"/>
    <w:uiPriority w:val="99"/>
    <w:unhideWhenUsed/>
    <w:rsid w:val="00AD35DC"/>
    <w:pPr>
      <w:tabs>
        <w:tab w:val="center" w:pos="4252"/>
        <w:tab w:val="right" w:pos="8504"/>
      </w:tabs>
      <w:spacing w:after="0" w:line="240" w:lineRule="auto"/>
    </w:pPr>
  </w:style>
  <w:style w:type="character" w:customStyle="1" w:styleId="RodapChar">
    <w:name w:val="Rodapé Char"/>
    <w:basedOn w:val="Fontepargpadro"/>
    <w:link w:val="Rodap"/>
    <w:uiPriority w:val="99"/>
    <w:rsid w:val="00AD35DC"/>
  </w:style>
  <w:style w:type="paragraph" w:styleId="Textodebalo">
    <w:name w:val="Balloon Text"/>
    <w:basedOn w:val="Normal"/>
    <w:link w:val="TextodebaloChar"/>
    <w:uiPriority w:val="99"/>
    <w:semiHidden/>
    <w:unhideWhenUsed/>
    <w:rsid w:val="007807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07D8"/>
    <w:rPr>
      <w:rFonts w:ascii="Tahoma" w:hAnsi="Tahoma" w:cs="Tahoma"/>
      <w:sz w:val="16"/>
      <w:szCs w:val="16"/>
    </w:rPr>
  </w:style>
  <w:style w:type="character" w:customStyle="1" w:styleId="Ttulo2Char">
    <w:name w:val="Título 2 Char"/>
    <w:basedOn w:val="Fontepargpadro"/>
    <w:link w:val="Ttulo2"/>
    <w:rsid w:val="00564FDB"/>
    <w:rPr>
      <w:rFonts w:ascii="Cambria" w:eastAsia="Times New Roman" w:hAnsi="Cambria" w:cs="Times New Roman"/>
      <w:b/>
      <w:bCs/>
      <w:i/>
      <w:iCs/>
      <w:sz w:val="28"/>
      <w:szCs w:val="28"/>
      <w:lang w:val="x-none" w:eastAsia="ar-SA"/>
    </w:rPr>
  </w:style>
  <w:style w:type="character" w:styleId="TextodoEspaoReservado">
    <w:name w:val="Placeholder Text"/>
    <w:basedOn w:val="Fontepargpadro"/>
    <w:uiPriority w:val="99"/>
    <w:semiHidden/>
    <w:rsid w:val="00400004"/>
    <w:rPr>
      <w:color w:val="808080"/>
    </w:rPr>
  </w:style>
  <w:style w:type="paragraph" w:styleId="PargrafodaLista">
    <w:name w:val="List Paragraph"/>
    <w:basedOn w:val="Normal"/>
    <w:uiPriority w:val="34"/>
    <w:qFormat/>
    <w:rsid w:val="00C6265E"/>
    <w:pPr>
      <w:ind w:left="720"/>
      <w:contextualSpacing/>
    </w:pPr>
  </w:style>
  <w:style w:type="character" w:customStyle="1" w:styleId="Ttulo1Char">
    <w:name w:val="Título 1 Char"/>
    <w:basedOn w:val="Fontepargpadro"/>
    <w:link w:val="Ttulo1"/>
    <w:uiPriority w:val="9"/>
    <w:rsid w:val="00EA0FBF"/>
    <w:rPr>
      <w:rFonts w:ascii="Calibri" w:hAnsi="Calibri" w:cs="Arial"/>
      <w:b/>
      <w:bCs/>
    </w:rPr>
  </w:style>
  <w:style w:type="paragraph" w:customStyle="1" w:styleId="Default">
    <w:name w:val="Default"/>
    <w:rsid w:val="00EA0FBF"/>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091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A158A3"/>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A158A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A0FBF"/>
    <w:pPr>
      <w:keepNext/>
      <w:spacing w:after="0" w:line="240" w:lineRule="auto"/>
      <w:jc w:val="center"/>
      <w:outlineLvl w:val="0"/>
    </w:pPr>
    <w:rPr>
      <w:rFonts w:ascii="Calibri" w:hAnsi="Calibri" w:cs="Arial"/>
      <w:b/>
      <w:bCs/>
    </w:rPr>
  </w:style>
  <w:style w:type="paragraph" w:styleId="Ttulo2">
    <w:name w:val="heading 2"/>
    <w:basedOn w:val="Normal"/>
    <w:next w:val="Normal"/>
    <w:link w:val="Ttulo2Char"/>
    <w:unhideWhenUsed/>
    <w:qFormat/>
    <w:rsid w:val="00564FDB"/>
    <w:pPr>
      <w:keepNext/>
      <w:suppressAutoHyphens/>
      <w:spacing w:before="240" w:after="60" w:line="240" w:lineRule="auto"/>
      <w:outlineLvl w:val="1"/>
    </w:pPr>
    <w:rPr>
      <w:rFonts w:ascii="Cambria" w:eastAsia="Times New Roman" w:hAnsi="Cambria" w:cs="Times New Roman"/>
      <w:b/>
      <w:bCs/>
      <w:i/>
      <w:iCs/>
      <w:sz w:val="28"/>
      <w:szCs w:val="28"/>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E6468"/>
    <w:pPr>
      <w:spacing w:after="0" w:line="240" w:lineRule="auto"/>
    </w:pPr>
  </w:style>
  <w:style w:type="paragraph" w:styleId="Lista">
    <w:name w:val="List"/>
    <w:basedOn w:val="Normal"/>
    <w:rsid w:val="00BE6468"/>
    <w:pPr>
      <w:spacing w:after="0" w:line="240" w:lineRule="auto"/>
      <w:ind w:left="283" w:hanging="283"/>
      <w:contextualSpacing/>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AD35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35DC"/>
  </w:style>
  <w:style w:type="paragraph" w:styleId="Rodap">
    <w:name w:val="footer"/>
    <w:basedOn w:val="Normal"/>
    <w:link w:val="RodapChar"/>
    <w:uiPriority w:val="99"/>
    <w:unhideWhenUsed/>
    <w:rsid w:val="00AD35DC"/>
    <w:pPr>
      <w:tabs>
        <w:tab w:val="center" w:pos="4252"/>
        <w:tab w:val="right" w:pos="8504"/>
      </w:tabs>
      <w:spacing w:after="0" w:line="240" w:lineRule="auto"/>
    </w:pPr>
  </w:style>
  <w:style w:type="character" w:customStyle="1" w:styleId="RodapChar">
    <w:name w:val="Rodapé Char"/>
    <w:basedOn w:val="Fontepargpadro"/>
    <w:link w:val="Rodap"/>
    <w:uiPriority w:val="99"/>
    <w:rsid w:val="00AD35DC"/>
  </w:style>
  <w:style w:type="paragraph" w:styleId="Textodebalo">
    <w:name w:val="Balloon Text"/>
    <w:basedOn w:val="Normal"/>
    <w:link w:val="TextodebaloChar"/>
    <w:uiPriority w:val="99"/>
    <w:semiHidden/>
    <w:unhideWhenUsed/>
    <w:rsid w:val="007807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07D8"/>
    <w:rPr>
      <w:rFonts w:ascii="Tahoma" w:hAnsi="Tahoma" w:cs="Tahoma"/>
      <w:sz w:val="16"/>
      <w:szCs w:val="16"/>
    </w:rPr>
  </w:style>
  <w:style w:type="character" w:customStyle="1" w:styleId="Ttulo2Char">
    <w:name w:val="Título 2 Char"/>
    <w:basedOn w:val="Fontepargpadro"/>
    <w:link w:val="Ttulo2"/>
    <w:rsid w:val="00564FDB"/>
    <w:rPr>
      <w:rFonts w:ascii="Cambria" w:eastAsia="Times New Roman" w:hAnsi="Cambria" w:cs="Times New Roman"/>
      <w:b/>
      <w:bCs/>
      <w:i/>
      <w:iCs/>
      <w:sz w:val="28"/>
      <w:szCs w:val="28"/>
      <w:lang w:val="x-none" w:eastAsia="ar-SA"/>
    </w:rPr>
  </w:style>
  <w:style w:type="character" w:styleId="TextodoEspaoReservado">
    <w:name w:val="Placeholder Text"/>
    <w:basedOn w:val="Fontepargpadro"/>
    <w:uiPriority w:val="99"/>
    <w:semiHidden/>
    <w:rsid w:val="00400004"/>
    <w:rPr>
      <w:color w:val="808080"/>
    </w:rPr>
  </w:style>
  <w:style w:type="paragraph" w:styleId="PargrafodaLista">
    <w:name w:val="List Paragraph"/>
    <w:basedOn w:val="Normal"/>
    <w:uiPriority w:val="34"/>
    <w:qFormat/>
    <w:rsid w:val="00C6265E"/>
    <w:pPr>
      <w:ind w:left="720"/>
      <w:contextualSpacing/>
    </w:pPr>
  </w:style>
  <w:style w:type="character" w:customStyle="1" w:styleId="Ttulo1Char">
    <w:name w:val="Título 1 Char"/>
    <w:basedOn w:val="Fontepargpadro"/>
    <w:link w:val="Ttulo1"/>
    <w:uiPriority w:val="9"/>
    <w:rsid w:val="00EA0FBF"/>
    <w:rPr>
      <w:rFonts w:ascii="Calibri" w:hAnsi="Calibri" w:cs="Arial"/>
      <w:b/>
      <w:bCs/>
    </w:rPr>
  </w:style>
  <w:style w:type="paragraph" w:customStyle="1" w:styleId="Default">
    <w:name w:val="Default"/>
    <w:rsid w:val="00EA0FBF"/>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091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A158A3"/>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A158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70214">
      <w:bodyDiv w:val="1"/>
      <w:marLeft w:val="0"/>
      <w:marRight w:val="0"/>
      <w:marTop w:val="0"/>
      <w:marBottom w:val="0"/>
      <w:divBdr>
        <w:top w:val="none" w:sz="0" w:space="0" w:color="auto"/>
        <w:left w:val="none" w:sz="0" w:space="0" w:color="auto"/>
        <w:bottom w:val="none" w:sz="0" w:space="0" w:color="auto"/>
        <w:right w:val="none" w:sz="0" w:space="0" w:color="auto"/>
      </w:divBdr>
    </w:div>
    <w:div w:id="715011191">
      <w:bodyDiv w:val="1"/>
      <w:marLeft w:val="0"/>
      <w:marRight w:val="0"/>
      <w:marTop w:val="0"/>
      <w:marBottom w:val="0"/>
      <w:divBdr>
        <w:top w:val="none" w:sz="0" w:space="0" w:color="auto"/>
        <w:left w:val="none" w:sz="0" w:space="0" w:color="auto"/>
        <w:bottom w:val="none" w:sz="0" w:space="0" w:color="auto"/>
        <w:right w:val="none" w:sz="0" w:space="0" w:color="auto"/>
      </w:divBdr>
    </w:div>
    <w:div w:id="1660426540">
      <w:bodyDiv w:val="1"/>
      <w:marLeft w:val="0"/>
      <w:marRight w:val="0"/>
      <w:marTop w:val="0"/>
      <w:marBottom w:val="0"/>
      <w:divBdr>
        <w:top w:val="none" w:sz="0" w:space="0" w:color="auto"/>
        <w:left w:val="none" w:sz="0" w:space="0" w:color="auto"/>
        <w:bottom w:val="none" w:sz="0" w:space="0" w:color="auto"/>
        <w:right w:val="none" w:sz="0" w:space="0" w:color="auto"/>
      </w:divBdr>
    </w:div>
    <w:div w:id="17240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AC333436EB41E09025C40C40FFBE60"/>
        <w:category>
          <w:name w:val="Geral"/>
          <w:gallery w:val="placeholder"/>
        </w:category>
        <w:types>
          <w:type w:val="bbPlcHdr"/>
        </w:types>
        <w:behaviors>
          <w:behavior w:val="content"/>
        </w:behaviors>
        <w:guid w:val="{0375A88F-7571-4238-A08C-1DF80AEA5C7D}"/>
      </w:docPartPr>
      <w:docPartBody>
        <w:p w:rsidR="007607C5" w:rsidRDefault="00684E6E" w:rsidP="00684E6E">
          <w:pPr>
            <w:pStyle w:val="31AC333436EB41E09025C40C40FFBE60"/>
          </w:pPr>
          <w:r w:rsidRPr="002C7A18">
            <w:rPr>
              <w:rStyle w:val="TextodoEspaoReservado"/>
            </w:rPr>
            <w:t>[Empresa]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E6E"/>
    <w:rsid w:val="00684E6E"/>
    <w:rsid w:val="007607C5"/>
    <w:rsid w:val="00795538"/>
    <w:rsid w:val="00E255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84E6E"/>
    <w:rPr>
      <w:color w:val="808080"/>
    </w:rPr>
  </w:style>
  <w:style w:type="paragraph" w:customStyle="1" w:styleId="31AC333436EB41E09025C40C40FFBE60">
    <w:name w:val="31AC333436EB41E09025C40C40FFBE60"/>
    <w:rsid w:val="00684E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84E6E"/>
    <w:rPr>
      <w:color w:val="808080"/>
    </w:rPr>
  </w:style>
  <w:style w:type="paragraph" w:customStyle="1" w:styleId="31AC333436EB41E09025C40C40FFBE60">
    <w:name w:val="31AC333436EB41E09025C40C40FFBE60"/>
    <w:rsid w:val="00684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2661</Words>
  <Characters>14373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6.1      Os produtos deverão ser entregues na cidade de Bernardo Sayão, na sede do Fundo Municipal de Assistência Social.</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ALMOX</cp:lastModifiedBy>
  <cp:revision>4</cp:revision>
  <cp:lastPrinted>2023-04-12T11:52:00Z</cp:lastPrinted>
  <dcterms:created xsi:type="dcterms:W3CDTF">2023-04-11T12:31:00Z</dcterms:created>
  <dcterms:modified xsi:type="dcterms:W3CDTF">2023-04-12T12:05:00Z</dcterms:modified>
</cp:coreProperties>
</file>