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07DF" w14:textId="77777777" w:rsidR="0061670B" w:rsidRPr="00065CAD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TERMO DE REFERÊNCIA</w:t>
      </w:r>
    </w:p>
    <w:p w14:paraId="2BE2A119" w14:textId="659D453D" w:rsidR="0061670B" w:rsidRDefault="0061670B" w:rsidP="0061670B">
      <w:pPr>
        <w:spacing w:line="256" w:lineRule="auto"/>
        <w:jc w:val="center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Órgão responsável: </w:t>
      </w:r>
      <w:r w:rsidR="00C41541">
        <w:rPr>
          <w:rFonts w:ascii="Arial" w:eastAsia="Calibri" w:hAnsi="Arial" w:cs="Arial"/>
        </w:rPr>
        <w:t>Secretaria Municipal de Administração</w:t>
      </w:r>
    </w:p>
    <w:p w14:paraId="6E3D8B12" w14:textId="77777777" w:rsidR="00D80E36" w:rsidRPr="00065CAD" w:rsidRDefault="00D80E36" w:rsidP="0061670B">
      <w:pPr>
        <w:spacing w:line="256" w:lineRule="auto"/>
        <w:jc w:val="center"/>
        <w:rPr>
          <w:rFonts w:ascii="Arial" w:eastAsia="Calibri" w:hAnsi="Arial" w:cs="Arial"/>
        </w:rPr>
      </w:pPr>
    </w:p>
    <w:p w14:paraId="304B0091" w14:textId="77777777" w:rsidR="0061670B" w:rsidRPr="00065CAD" w:rsidRDefault="0061670B" w:rsidP="0061670B">
      <w:pPr>
        <w:numPr>
          <w:ilvl w:val="0"/>
          <w:numId w:val="8"/>
        </w:numPr>
        <w:spacing w:line="256" w:lineRule="auto"/>
        <w:ind w:left="284" w:hanging="284"/>
        <w:contextualSpacing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OBJETO</w:t>
      </w:r>
    </w:p>
    <w:p w14:paraId="48619544" w14:textId="3C178B08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O objeto desta dispensa é </w:t>
      </w:r>
      <w:r w:rsidR="00C41541">
        <w:rPr>
          <w:rFonts w:ascii="Arial" w:eastAsia="Calibri" w:hAnsi="Arial" w:cs="Arial"/>
        </w:rPr>
        <w:t>a contratação de empresa para a prestação de serviços de assessoria e habilitação de convênio ITR</w:t>
      </w:r>
      <w:r w:rsidR="00D80E36">
        <w:rPr>
          <w:rFonts w:ascii="Arial" w:eastAsia="Calibri" w:hAnsi="Arial" w:cs="Arial"/>
        </w:rPr>
        <w:t xml:space="preserve"> (Imposto Territorial Rural) junto a Receita Federal do Brasil e elaboração de Laudo Agronômico, para definição do valor da terra nua (VTN), deste município de Bernardo Sayão – TO.</w:t>
      </w:r>
      <w:r w:rsidR="00F27495">
        <w:rPr>
          <w:rFonts w:ascii="Arial" w:eastAsia="Calibri" w:hAnsi="Arial" w:cs="Arial"/>
        </w:rPr>
        <w:t xml:space="preserve"> </w:t>
      </w:r>
    </w:p>
    <w:p w14:paraId="62A81C54" w14:textId="3B76A38C" w:rsidR="0061670B" w:rsidRPr="00065CAD" w:rsidRDefault="00705EEC" w:rsidP="0061670B">
      <w:pPr>
        <w:spacing w:line="256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2- JUSTIFICATIVA</w:t>
      </w:r>
    </w:p>
    <w:p w14:paraId="6653BF6B" w14:textId="1AE33A8F" w:rsidR="0097000F" w:rsidRPr="00F27495" w:rsidRDefault="0097000F" w:rsidP="0061670B">
      <w:pPr>
        <w:spacing w:line="256" w:lineRule="auto"/>
        <w:jc w:val="both"/>
        <w:rPr>
          <w:rFonts w:ascii="Arial" w:hAnsi="Arial" w:cs="Arial"/>
        </w:rPr>
      </w:pPr>
      <w:r w:rsidRPr="00F27495">
        <w:rPr>
          <w:rFonts w:ascii="Arial" w:hAnsi="Arial" w:cs="Arial"/>
        </w:rPr>
        <w:t xml:space="preserve">A </w:t>
      </w:r>
      <w:r w:rsidR="00705EEC">
        <w:rPr>
          <w:rFonts w:ascii="Arial" w:hAnsi="Arial" w:cs="Arial"/>
        </w:rPr>
        <w:t xml:space="preserve">Lei Federal nº </w:t>
      </w:r>
      <w:r w:rsidR="00C77A35">
        <w:rPr>
          <w:rFonts w:ascii="Arial" w:hAnsi="Arial" w:cs="Arial"/>
        </w:rPr>
        <w:t xml:space="preserve">4.896/2005 regulamentou a transferência do Imposto Territorial Rural – ITR, para todos os territórios brasileiros. Logo a Lei Federal nº 11.250/2005, definiu que a Secretaria da Receita Federal pode celebrar convênio com o Distrito Federal e os Munícipios para delegarem atribuições para fiscalização de lançamentos de créditos tributários, inclusive de cobrança do Imposto Territorial Rural – ITR, sem causar prejuízo </w:t>
      </w:r>
      <w:r w:rsidR="00F02D5F">
        <w:rPr>
          <w:rFonts w:ascii="Arial" w:hAnsi="Arial" w:cs="Arial"/>
        </w:rPr>
        <w:t>a SRF. Todavia, temos em regra elaborar e informar anualmente o Valor da Terra Nua – VTR, onde esse é calculado por hectare, para que essas informações sejam enviadas para a base da Receita Federal, com o objetivo de atualizar o Sistema de Preços de Terras –</w:t>
      </w:r>
      <w:r w:rsidR="004248EA">
        <w:rPr>
          <w:rFonts w:ascii="Arial" w:hAnsi="Arial" w:cs="Arial"/>
        </w:rPr>
        <w:t xml:space="preserve"> SPT. Justifica-se essa contratação, de forma que o VTN tem impacto 100% diretamente nos repasses do Imposto Territorial Rural – ITR, onde é uma das maiores receitas do município. Como o ITR é um imposto de competência da União</w:t>
      </w:r>
      <w:r w:rsidR="000D66A3">
        <w:rPr>
          <w:rFonts w:ascii="Arial" w:hAnsi="Arial" w:cs="Arial"/>
        </w:rPr>
        <w:t>, o Município não pode legislar sobre o mesmo, notoriamente tendo que atender as regras estabelecidas</w:t>
      </w:r>
      <w:r w:rsidRPr="00F27495">
        <w:rPr>
          <w:rFonts w:ascii="Arial" w:hAnsi="Arial" w:cs="Arial"/>
        </w:rPr>
        <w:t xml:space="preserve"> </w:t>
      </w:r>
      <w:r w:rsidR="000D66A3">
        <w:rPr>
          <w:rFonts w:ascii="Arial" w:hAnsi="Arial" w:cs="Arial"/>
        </w:rPr>
        <w:t>na IN nº 1562/2015. Como o município tem convênio firmado com a Receita Federal, deve cumprir a elaboração de assessoria e habilitação, onde segundo a CTN, em seu artigo 30, a base de cálculo é o valor fundiário, que por sua vez, é o Valor da Terra Nua Tributável – VTNT.</w:t>
      </w:r>
    </w:p>
    <w:p w14:paraId="6F881427" w14:textId="64876041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Diante das justificativas apresentadas faz-se necessário a contratação de empresa por Dispensa de Licitação, nos termos exigidos no inciso II do art. 75, da Lei 14.133/2021.</w:t>
      </w:r>
    </w:p>
    <w:p w14:paraId="527A0045" w14:textId="77777777" w:rsidR="0061670B" w:rsidRPr="00065CAD" w:rsidRDefault="0061670B" w:rsidP="0061670B">
      <w:pPr>
        <w:spacing w:line="256" w:lineRule="auto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3 - DO ENQUADRAMENTO LEGAL:</w:t>
      </w:r>
    </w:p>
    <w:p w14:paraId="2D694AAF" w14:textId="33B87D2A" w:rsidR="0061670B" w:rsidRPr="00065CAD" w:rsidRDefault="000D66A3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º</w:t>
      </w:r>
      <w:r w:rsidR="0061670B" w:rsidRPr="00065CAD">
        <w:rPr>
          <w:rFonts w:ascii="Arial" w:eastAsia="Calibri" w:hAnsi="Arial" w:cs="Arial"/>
        </w:rPr>
        <w:t>0 presente termo de referência tem como base legal a Lei Federal 14.133/2021 (Nova Lei de Licitações, especificamente em seu artigo 75, inciso II).</w:t>
      </w:r>
    </w:p>
    <w:p w14:paraId="3B62D977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procedimento observado obedece ao disposto no artigo 72, incisos I a VIII, bem como o Decreto Municipal N° 018/2022.</w:t>
      </w:r>
    </w:p>
    <w:p w14:paraId="5A3D856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Nas palavras do ilustre professor Ronny Charles: “Quando a lei prevê hipóteses de contratação direta (dispensa e inexigibilidade) é porque admite que nem sempre a realização do certame levará à melhor forma de contratação pela Administração ou que, pelo menos, a sujeição do negócio ao procedimento forma! e burocrático previsto pelo estatuto não serve eficaz ao atendimento do interesse público naquela hipótese específica.’’</w:t>
      </w:r>
    </w:p>
    <w:p w14:paraId="053435E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Nesse mesmo sentido, o nobre doutrinador Adilson Abreu Dallari destaca que: “Nem sempre, é verdade, a licitação leva uma contratação mais vantajosa. Não pode ocorrer, em virtude da realização do procedimento licitatório, é o sacrifício de outros valores e princípios consagrados pela ordem jurídica, especialmente o princípio da eficiência. ’’</w:t>
      </w:r>
    </w:p>
    <w:p w14:paraId="3F03FB0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No presente caso, a dispensa de licitação torna-se mais viável ao procedimento licitatório, porém deve ser pormenorizada em um procedimento formal, não sendo afastado nenhuma das premissas básicas de um procedimento licitatório, como a busca pelo melhor atendimento à finalidade pública e respeito a princípios basilares como a impessoalidade, moralidade, publicidade dentre outros;</w:t>
      </w:r>
    </w:p>
    <w:p w14:paraId="16C2839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contratação via dispensa de Licitação, em razão do montante totais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14:paraId="3F3F840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4 - DA RAZÃO E ESCOLHA DO FORNECEDOR:</w:t>
      </w:r>
    </w:p>
    <w:p w14:paraId="02B925F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que diz respeito a RAZÃO DA ESCOLHA DO FORNECEDOR, em atendimento ao que preconiza o artigo 72, VI da Lei 14.133/2021 e o artigo 24 do Decreto Municipal 018/2022 justifica-se por se tratar de empresa na área do objeto de pretensão contratual, que preenche os requisitos de habilitação e qualificação mínima necessária, além de ter ofertado a proposta mais vantajosa para a administração.</w:t>
      </w:r>
    </w:p>
    <w:p w14:paraId="13F310C9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5 - DA JUSTIFICATIVA DOS PREÇOS:</w:t>
      </w:r>
    </w:p>
    <w:p w14:paraId="6ED7B98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color w:val="FF0000"/>
        </w:rPr>
      </w:pPr>
      <w:r w:rsidRPr="00065CAD">
        <w:rPr>
          <w:rFonts w:ascii="Arial" w:eastAsia="Calibri" w:hAnsi="Arial" w:cs="Arial"/>
        </w:rPr>
        <w:t>No que diz respeito à justificativa de preços, em atendimento ao que preconiza o artigo 72, VII da Lei 14.133/2021 e o Decreto Municipal 018/2022, foi realizado pesquisa de mercado, tendo sido apresentada 3 (três) cotações de preços, junto ao processo, tendo apresentado a melhor proposta para a administração pública que no caso de</w:t>
      </w:r>
      <w:r w:rsidRPr="00065CAD">
        <w:rPr>
          <w:rFonts w:ascii="Arial" w:eastAsia="Calibri" w:hAnsi="Arial" w:cs="Arial"/>
          <w:color w:val="FF0000"/>
        </w:rPr>
        <w:t xml:space="preserve"> </w:t>
      </w:r>
      <w:r w:rsidRPr="00065CAD">
        <w:rPr>
          <w:rFonts w:ascii="Arial" w:eastAsia="Calibri" w:hAnsi="Arial" w:cs="Arial"/>
        </w:rPr>
        <w:t>(procedimento fracassado), administração poderá se valer da proposta de melhor preços mais vantajosos para administração;</w:t>
      </w:r>
    </w:p>
    <w:p w14:paraId="64F4431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Sendo assim, declara-se que o preço praticado para a presente contratação é compatível com o mercado, sendo considerado justo para esta Administração.</w:t>
      </w:r>
    </w:p>
    <w:p w14:paraId="09BF5A53" w14:textId="53FAAD4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 xml:space="preserve">6 </w:t>
      </w:r>
      <w:r w:rsidR="00900262">
        <w:rPr>
          <w:rFonts w:ascii="Arial" w:eastAsia="Calibri" w:hAnsi="Arial" w:cs="Arial"/>
          <w:b/>
          <w:bCs/>
        </w:rPr>
        <w:t xml:space="preserve">- DO REGIME DE EXECUÇÃO E </w:t>
      </w:r>
      <w:r w:rsidRPr="00065CAD">
        <w:rPr>
          <w:rFonts w:ascii="Arial" w:eastAsia="Calibri" w:hAnsi="Arial" w:cs="Arial"/>
          <w:b/>
          <w:bCs/>
        </w:rPr>
        <w:t xml:space="preserve">DA FORMA </w:t>
      </w:r>
      <w:r w:rsidR="00900262">
        <w:rPr>
          <w:rFonts w:ascii="Arial" w:eastAsia="Calibri" w:hAnsi="Arial" w:cs="Arial"/>
          <w:b/>
          <w:bCs/>
        </w:rPr>
        <w:t>DE PRESTAÇÃO DOS SERVIÇOS</w:t>
      </w:r>
      <w:r w:rsidRPr="00065CAD">
        <w:rPr>
          <w:rFonts w:ascii="Arial" w:eastAsia="Calibri" w:hAnsi="Arial" w:cs="Arial"/>
          <w:b/>
          <w:bCs/>
        </w:rPr>
        <w:t>.</w:t>
      </w:r>
    </w:p>
    <w:p w14:paraId="0CF8CAC4" w14:textId="707121E1" w:rsidR="0061670B" w:rsidRPr="00065CAD" w:rsidRDefault="003221EC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Os serviços serão prestados na forma presencial, no Departamento de Arrecadação, na Prefeitura Municipal de Bernardo Sayão – TO e de forma remota, por profissionais qualificados, da empresa vencedora do certame em tela</w:t>
      </w:r>
      <w:r w:rsidR="0061670B" w:rsidRPr="00065CAD">
        <w:rPr>
          <w:rFonts w:ascii="Arial" w:eastAsia="Calibri" w:hAnsi="Arial" w:cs="Arial"/>
        </w:rPr>
        <w:t>.</w:t>
      </w:r>
    </w:p>
    <w:p w14:paraId="35F67163" w14:textId="52D66338" w:rsidR="00900262" w:rsidRDefault="00900262" w:rsidP="0061670B">
      <w:pPr>
        <w:spacing w:line="25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Os serviços serão prestados de forma parcelada, sempre que solicitados pela Secretaria Municipal de Administração, através de requisição de serviços.</w:t>
      </w:r>
    </w:p>
    <w:p w14:paraId="4D292B23" w14:textId="4A68AF51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7 - ESPECIFICAÇÕES / DETALHAMENTO.</w:t>
      </w:r>
    </w:p>
    <w:tbl>
      <w:tblPr>
        <w:tblStyle w:val="Tabelacomgrade2"/>
        <w:tblW w:w="9060" w:type="dxa"/>
        <w:tblLook w:val="04A0" w:firstRow="1" w:lastRow="0" w:firstColumn="1" w:lastColumn="0" w:noHBand="0" w:noVBand="1"/>
      </w:tblPr>
      <w:tblGrid>
        <w:gridCol w:w="742"/>
        <w:gridCol w:w="3808"/>
        <w:gridCol w:w="1415"/>
        <w:gridCol w:w="1543"/>
        <w:gridCol w:w="1552"/>
      </w:tblGrid>
      <w:tr w:rsidR="0061670B" w:rsidRPr="00900262" w14:paraId="2F1E119F" w14:textId="77777777" w:rsidTr="0061670B"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C258" w14:textId="20AC8C65" w:rsidR="0061670B" w:rsidRPr="00900262" w:rsidRDefault="0061670B" w:rsidP="00E63E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 xml:space="preserve">Quantidade </w:t>
            </w:r>
            <w:r w:rsidR="00E63E4B">
              <w:rPr>
                <w:rFonts w:ascii="Arial" w:hAnsi="Arial" w:cs="Arial"/>
                <w:sz w:val="20"/>
                <w:szCs w:val="20"/>
              </w:rPr>
              <w:t>dos serviços a serem prestados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1A3" w14:textId="77777777" w:rsidR="0061670B" w:rsidRPr="00900262" w:rsidRDefault="0061670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670B" w:rsidRPr="00900262" w14:paraId="2BEBC1C5" w14:textId="77777777" w:rsidTr="0061670B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E93" w14:textId="77777777" w:rsidR="0061670B" w:rsidRPr="00900262" w:rsidRDefault="0061670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0C3" w14:textId="77777777" w:rsidR="0061670B" w:rsidRPr="00900262" w:rsidRDefault="0061670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CDFF" w14:textId="494952F2" w:rsidR="0061670B" w:rsidRPr="00900262" w:rsidRDefault="00065CAD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6B5B" w14:textId="53483D7C" w:rsidR="0061670B" w:rsidRPr="00900262" w:rsidRDefault="0061670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Preço Unitário</w:t>
            </w:r>
          </w:p>
          <w:p w14:paraId="1BFD52FC" w14:textId="77777777" w:rsidR="0061670B" w:rsidRPr="00900262" w:rsidRDefault="0061670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Estimado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5E9E" w14:textId="77777777" w:rsidR="0061670B" w:rsidRPr="00900262" w:rsidRDefault="0061670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Preço Total Estimado</w:t>
            </w:r>
          </w:p>
        </w:tc>
      </w:tr>
      <w:tr w:rsidR="0061670B" w:rsidRPr="00900262" w14:paraId="59D2D849" w14:textId="77777777" w:rsidTr="00065CAD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6B66" w14:textId="4314EDA4" w:rsidR="0061670B" w:rsidRPr="00900262" w:rsidRDefault="00421301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2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5F0CF" w14:textId="034E3F1D" w:rsidR="0061670B" w:rsidRPr="00900262" w:rsidRDefault="00900262" w:rsidP="006167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900262">
              <w:rPr>
                <w:rFonts w:ascii="Arial" w:hAnsi="Arial" w:cs="Arial"/>
                <w:sz w:val="20"/>
                <w:szCs w:val="20"/>
              </w:rPr>
              <w:t>restação de serviços de assessoria e habilitação de convênio ITR (Imposto Territorial Rural) junto a Receita Federal do Brasil e elaboração de Laudo Agronômico, para definição do valor da terra nua (VTN), deste município de Bernardo Sayão – TO.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D59" w14:textId="44D8C9E5" w:rsidR="0061670B" w:rsidRPr="00900262" w:rsidRDefault="00900262" w:rsidP="009002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Parcela/3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A09" w14:textId="77777777" w:rsidR="0034594B" w:rsidRPr="00E63E4B" w:rsidRDefault="0034594B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</w:p>
          <w:p w14:paraId="0C477EED" w14:textId="77777777" w:rsidR="00900262" w:rsidRPr="00E63E4B" w:rsidRDefault="00900262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</w:p>
          <w:p w14:paraId="7C17A1D5" w14:textId="77777777" w:rsidR="00E63E4B" w:rsidRPr="00E63E4B" w:rsidRDefault="00E63E4B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</w:p>
          <w:p w14:paraId="2DDD13E7" w14:textId="753BB1E7" w:rsidR="00900262" w:rsidRPr="00E63E4B" w:rsidRDefault="005F59DC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  <w:r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  <w:t>10,583,33</w:t>
            </w:r>
            <w:bookmarkStart w:id="0" w:name="_GoBack"/>
            <w:bookmarkEnd w:id="0"/>
          </w:p>
          <w:p w14:paraId="5748B53B" w14:textId="047C0862" w:rsidR="00900262" w:rsidRPr="00E63E4B" w:rsidRDefault="00900262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957" w14:textId="77777777" w:rsidR="00900262" w:rsidRPr="00E63E4B" w:rsidRDefault="00900262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</w:p>
          <w:p w14:paraId="3A72A002" w14:textId="77777777" w:rsidR="00900262" w:rsidRPr="00E63E4B" w:rsidRDefault="00900262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</w:p>
          <w:p w14:paraId="31A85B05" w14:textId="77777777" w:rsidR="00E63E4B" w:rsidRPr="00E63E4B" w:rsidRDefault="00E63E4B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</w:p>
          <w:p w14:paraId="3E36DD41" w14:textId="15515B8A" w:rsidR="0034594B" w:rsidRPr="00E63E4B" w:rsidRDefault="00900262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</w:pPr>
            <w:r w:rsidRPr="00E63E4B">
              <w:rPr>
                <w:rFonts w:ascii="Arial" w:eastAsia="WenQuanYi Micro Hei" w:hAnsi="Arial" w:cs="Arial"/>
                <w:color w:val="FF0000"/>
                <w:sz w:val="20"/>
                <w:szCs w:val="20"/>
                <w:lang w:eastAsia="zh-CN" w:bidi="hi-IN"/>
              </w:rPr>
              <w:t>31.750,00</w:t>
            </w:r>
          </w:p>
        </w:tc>
      </w:tr>
      <w:tr w:rsidR="00421301" w:rsidRPr="00900262" w14:paraId="35953FA6" w14:textId="77777777" w:rsidTr="004F14D3"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271A" w14:textId="220AD44B" w:rsidR="00421301" w:rsidRPr="00900262" w:rsidRDefault="00421301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200" w14:textId="77777777" w:rsidR="00421301" w:rsidRPr="00900262" w:rsidRDefault="00421301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0"/>
                <w:szCs w:val="20"/>
                <w:lang w:eastAsia="zh-CN" w:bidi="hi-IN"/>
              </w:rPr>
            </w:pPr>
          </w:p>
        </w:tc>
      </w:tr>
    </w:tbl>
    <w:p w14:paraId="67DDB397" w14:textId="77777777" w:rsidR="00421301" w:rsidRDefault="00421301" w:rsidP="0061670B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C3762BC" w14:textId="0AAF02B3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  <w:b/>
        </w:rPr>
        <w:t xml:space="preserve">7.1- </w:t>
      </w:r>
      <w:r w:rsidRPr="00065CAD">
        <w:rPr>
          <w:rFonts w:ascii="Arial" w:eastAsia="Calibri" w:hAnsi="Arial" w:cs="Arial"/>
        </w:rPr>
        <w:t xml:space="preserve">O valor estimado para essa contratação é de </w:t>
      </w:r>
      <w:r w:rsidRPr="0034594B">
        <w:rPr>
          <w:rFonts w:ascii="Arial" w:eastAsia="Calibri" w:hAnsi="Arial" w:cs="Arial"/>
          <w:b/>
          <w:color w:val="FF0000"/>
        </w:rPr>
        <w:t xml:space="preserve">R$ </w:t>
      </w:r>
      <w:r w:rsidR="00900262">
        <w:rPr>
          <w:rFonts w:ascii="Arial" w:eastAsia="Calibri" w:hAnsi="Arial" w:cs="Arial"/>
          <w:b/>
          <w:color w:val="FF0000"/>
        </w:rPr>
        <w:t>31.750,00 (trinta e um mil e setecentos e cinquenta reais).</w:t>
      </w:r>
    </w:p>
    <w:p w14:paraId="23D3C24E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</w:rPr>
      </w:pPr>
    </w:p>
    <w:p w14:paraId="0DD1F57E" w14:textId="456E6311" w:rsidR="0061670B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8 - DA DESCRIÇÃO DA SOLUÇÃO.</w:t>
      </w:r>
    </w:p>
    <w:p w14:paraId="36DB6B41" w14:textId="77777777" w:rsidR="0034594B" w:rsidRPr="00065CAD" w:rsidRDefault="0034594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4AC39D5E" w14:textId="76C7F8A6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descrição da solução como um todo, abrange a </w:t>
      </w:r>
      <w:r w:rsidR="00E63E4B">
        <w:rPr>
          <w:rFonts w:ascii="Arial" w:eastAsia="Calibri" w:hAnsi="Arial" w:cs="Arial"/>
        </w:rPr>
        <w:t>prestação de serviços de assessoria e habilitação de convênio ITR (Imposto Territorial Rural) junto a Receita Federal do Brasil e elaboração de Laudo Agronômico, para definição do valor da terra nua (VTN), deste município de Bernardo Sayão – TO</w:t>
      </w:r>
      <w:r w:rsidR="0034594B" w:rsidRPr="00065CAD">
        <w:rPr>
          <w:rFonts w:ascii="Arial" w:hAnsi="Arial" w:cs="Arial"/>
        </w:rPr>
        <w:t>.</w:t>
      </w:r>
    </w:p>
    <w:p w14:paraId="4D78FAA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contratação em tela visa dar continuidade aos serviços acessórios que dão sustentabilidade à otimização e adequação das atividades da administração pública, em suas atribuições finalísticas.</w:t>
      </w:r>
    </w:p>
    <w:p w14:paraId="353410B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9 - REQUISITOS DA CONTRATAÇÃO:</w:t>
      </w:r>
    </w:p>
    <w:p w14:paraId="2972EE1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3925A50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Será exigido, conforme artigo 62 da Lei Federal 14.133/2021, documentos referentes a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7437E25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Sendo assim, os documentos exigidos serão:</w:t>
      </w:r>
    </w:p>
    <w:p w14:paraId="1EF4032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1. Contrato social da empresa (todas as alterações ou última consolidação): </w:t>
      </w:r>
    </w:p>
    <w:p w14:paraId="122A6C5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2. Documento de Identificação dos sócios da empresa; </w:t>
      </w:r>
    </w:p>
    <w:p w14:paraId="008B8979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3. Prova de inscrição no Cadastro Nacional da Pessoa Jurídica (CNPJ); </w:t>
      </w:r>
    </w:p>
    <w:p w14:paraId="04259318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4. Regularidade perante a Fazenda Municipal; </w:t>
      </w:r>
    </w:p>
    <w:p w14:paraId="3088B2AC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5. Regularidade perante a Fazenda Estadual; </w:t>
      </w:r>
    </w:p>
    <w:p w14:paraId="073B433E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6. Regularidade perante a Fazenda Federal;</w:t>
      </w:r>
    </w:p>
    <w:p w14:paraId="078F520B" w14:textId="77777777" w:rsidR="0061670B" w:rsidRPr="00065CAD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7. Regularidade perante a Caixa Econômica Federal; </w:t>
      </w:r>
    </w:p>
    <w:p w14:paraId="204B27C8" w14:textId="1AAE5B8E" w:rsidR="0061670B" w:rsidRDefault="0061670B" w:rsidP="0061670B">
      <w:pPr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8. Regularidade perante a Justiça do Trabalho.</w:t>
      </w:r>
    </w:p>
    <w:p w14:paraId="2DFB203E" w14:textId="51D38165" w:rsidR="0034594B" w:rsidRDefault="0034594B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3A17DA5B" w14:textId="77777777" w:rsidR="00FB343A" w:rsidRPr="00065CAD" w:rsidRDefault="00FB343A" w:rsidP="0061670B">
      <w:pPr>
        <w:spacing w:after="0" w:line="276" w:lineRule="auto"/>
        <w:jc w:val="both"/>
        <w:rPr>
          <w:rFonts w:ascii="Arial" w:eastAsia="Calibri" w:hAnsi="Arial" w:cs="Arial"/>
        </w:rPr>
      </w:pPr>
    </w:p>
    <w:p w14:paraId="7E41F33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10 - MODELO DE GESTÃO DO CONTRATO.</w:t>
      </w:r>
    </w:p>
    <w:p w14:paraId="431B8497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fiscalização da contratação, decorrente desta dispensa de licitação, será acompanhada e fiscalizada por servidor da Administração, especialmente designados, nos termos do artigo 117 da Lei Federal 14.133/2021.</w:t>
      </w:r>
    </w:p>
    <w:p w14:paraId="11BA78BD" w14:textId="2BCEC768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contratante deverá indiciar um responsável legal, através de documento encaminhado para o e-mail </w:t>
      </w:r>
      <w:r w:rsidR="000B75D9">
        <w:rPr>
          <w:rFonts w:ascii="Arial" w:eastAsia="Calibri" w:hAnsi="Arial" w:cs="Arial"/>
        </w:rPr>
        <w:t>pmbscpl2021@gmail.com</w:t>
      </w:r>
      <w:r w:rsidRPr="00065CAD">
        <w:rPr>
          <w:rFonts w:ascii="Arial" w:eastAsia="Calibri" w:hAnsi="Arial" w:cs="Arial"/>
        </w:rPr>
        <w:t>.com ou protocolado pessoalmente no setor de licitações e contratos deste município, indicando os respectivos contatos (e-mail, celular e Whatsapp), com poderes para representá-lo perante essa municipalidade na execução do contrato decorrente da dispensa de licitação objeto deste termo de referência.</w:t>
      </w:r>
    </w:p>
    <w:p w14:paraId="39B6A302" w14:textId="047022A6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lastRenderedPageBreak/>
        <w:t xml:space="preserve">11 - DO RECEBIMENTO </w:t>
      </w:r>
      <w:r w:rsidR="00E63E4B">
        <w:rPr>
          <w:rFonts w:ascii="Arial" w:eastAsia="Calibri" w:hAnsi="Arial" w:cs="Arial"/>
          <w:b/>
          <w:bCs/>
        </w:rPr>
        <w:t>DOS SERVIÇOS</w:t>
      </w:r>
      <w:r w:rsidRPr="00065CAD">
        <w:rPr>
          <w:rFonts w:ascii="Arial" w:eastAsia="Calibri" w:hAnsi="Arial" w:cs="Arial"/>
          <w:b/>
          <w:bCs/>
        </w:rPr>
        <w:t xml:space="preserve"> E DOS CRITÉRIOS PARA MEDIÇÃO E PAGAMENTO.</w:t>
      </w:r>
    </w:p>
    <w:p w14:paraId="2E984DF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O recebimento do objeto do contrato, decorrente da referida dispensa de licitação, se dará:</w:t>
      </w:r>
    </w:p>
    <w:p w14:paraId="23F47040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Provisoriamente, pelo responsável por seu acompanhamento e fiscalização, mediante termo detalhado, quando verificado o cumprimento das exigências de caráter técnico;</w:t>
      </w:r>
    </w:p>
    <w:p w14:paraId="73830776" w14:textId="77777777" w:rsidR="0061670B" w:rsidRPr="00065CAD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Definitivamente, por servidor ou comissão designada pela autoridade competente, mediante termo detalhado que comprove o atendimento das exigências contratuais;</w:t>
      </w:r>
    </w:p>
    <w:p w14:paraId="04C22D4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Federai 14.133/21.</w:t>
      </w:r>
    </w:p>
    <w:p w14:paraId="284F0C54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Considera-se ocorrido o recebimento da nota fiscal ou fatura no momento em que o órgão contratante atestar a execução do objeto do contrato.</w:t>
      </w:r>
    </w:p>
    <w:p w14:paraId="7B98B3B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2C32DB4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12 - RECURSOS ORÇAMENTÁRIOS.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995"/>
        <w:gridCol w:w="705"/>
        <w:gridCol w:w="995"/>
        <w:gridCol w:w="986"/>
        <w:gridCol w:w="994"/>
        <w:gridCol w:w="1286"/>
        <w:gridCol w:w="762"/>
        <w:gridCol w:w="1696"/>
        <w:gridCol w:w="829"/>
      </w:tblGrid>
      <w:tr w:rsidR="00E63E4B" w:rsidRPr="00912836" w14:paraId="44C1749A" w14:textId="77777777" w:rsidTr="0061670B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195F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ORGÃO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1E8A" w14:textId="52F75D91" w:rsidR="0061670B" w:rsidRPr="00912836" w:rsidRDefault="00E63E4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FICHA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637C" w14:textId="3EE589FF" w:rsidR="0061670B" w:rsidRPr="00912836" w:rsidRDefault="00E63E4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UNID.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D3B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AF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 FUNÇÃO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0D27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E45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PROJ.</w:t>
            </w:r>
          </w:p>
          <w:p w14:paraId="34185363" w14:textId="77777777" w:rsidR="0061670B" w:rsidRPr="00912836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ATIV.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A09" w14:textId="77777777" w:rsidR="0061670B" w:rsidRPr="00912836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02B" w14:textId="77777777" w:rsidR="0061670B" w:rsidRPr="00912836" w:rsidRDefault="0061670B" w:rsidP="0061670B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12836">
              <w:rPr>
                <w:rFonts w:ascii="Arial" w:hAnsi="Arial" w:cs="Arial"/>
                <w:b/>
                <w:bCs/>
                <w:sz w:val="16"/>
                <w:szCs w:val="16"/>
              </w:rPr>
              <w:t>FONTE</w:t>
            </w:r>
          </w:p>
        </w:tc>
      </w:tr>
      <w:tr w:rsidR="00E63E4B" w:rsidRPr="00912836" w14:paraId="4E88FC43" w14:textId="77777777" w:rsidTr="00C3593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FC3" w14:textId="5CEDF6EC" w:rsidR="0061670B" w:rsidRPr="00912836" w:rsidRDefault="00E63E4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12F" w14:textId="06EBD9D3" w:rsidR="0061670B" w:rsidRPr="00912836" w:rsidRDefault="00E63E4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DA4" w14:textId="2A04969F" w:rsidR="0061670B" w:rsidRPr="00912836" w:rsidRDefault="00415B90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03.05.01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70C" w14:textId="05943953" w:rsidR="0061670B" w:rsidRPr="00912836" w:rsidRDefault="00E63E4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BE9" w14:textId="2267E2BF" w:rsidR="0061670B" w:rsidRPr="00912836" w:rsidRDefault="00E63E4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990" w14:textId="7A3256B5" w:rsidR="0061670B" w:rsidRPr="00912836" w:rsidRDefault="00415B90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A78" w14:textId="708D5785" w:rsidR="0061670B" w:rsidRPr="00912836" w:rsidRDefault="00E63E4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711" w14:textId="79638A1D" w:rsidR="0061670B" w:rsidRPr="00912836" w:rsidRDefault="00E63E4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33.90.39.00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6DE" w14:textId="7AB68406" w:rsidR="0061670B" w:rsidRPr="00912836" w:rsidRDefault="00E63E4B" w:rsidP="00616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</w:tr>
    </w:tbl>
    <w:p w14:paraId="78427978" w14:textId="77777777" w:rsidR="0061670B" w:rsidRPr="00065CAD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93AD659" w14:textId="4A8861DD" w:rsidR="0061670B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13 - FORMA E CRITÉRIO DE SELEÇÃO DO FORNECEDOR.</w:t>
      </w:r>
    </w:p>
    <w:p w14:paraId="6D1F3173" w14:textId="77777777" w:rsidR="004252C0" w:rsidRPr="00065CAD" w:rsidRDefault="004252C0" w:rsidP="0061670B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513DE195" w14:textId="6BEE59CD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 seleção do </w:t>
      </w:r>
      <w:r w:rsidR="00912836">
        <w:rPr>
          <w:rFonts w:ascii="Arial" w:eastAsia="Calibri" w:hAnsi="Arial" w:cs="Arial"/>
        </w:rPr>
        <w:t>fornecedor</w:t>
      </w:r>
      <w:r w:rsidRPr="00065CAD">
        <w:rPr>
          <w:rFonts w:ascii="Arial" w:eastAsia="Calibri" w:hAnsi="Arial" w:cs="Arial"/>
        </w:rPr>
        <w:t xml:space="preserve"> será com base nos requisitos previstos neste termo de referência, atrelado a proposta mais vantajosa apresentada pelas empresas proponentes.</w:t>
      </w:r>
    </w:p>
    <w:p w14:paraId="4E03F562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14 - DO PRAZO CONTRATUAL.</w:t>
      </w:r>
    </w:p>
    <w:p w14:paraId="08E98BCB" w14:textId="396B093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 prazo de vigência do</w:t>
      </w:r>
      <w:r w:rsidR="003825DD">
        <w:rPr>
          <w:rFonts w:ascii="Arial" w:eastAsia="Calibri" w:hAnsi="Arial" w:cs="Arial"/>
        </w:rPr>
        <w:t xml:space="preserve"> termo contratual,</w:t>
      </w:r>
      <w:r w:rsidRPr="00065CAD">
        <w:rPr>
          <w:rFonts w:ascii="Arial" w:eastAsia="Calibri" w:hAnsi="Arial" w:cs="Arial"/>
        </w:rPr>
        <w:t xml:space="preserve"> </w:t>
      </w:r>
      <w:r w:rsidR="003825DD">
        <w:rPr>
          <w:rFonts w:ascii="Arial" w:eastAsia="Calibri" w:hAnsi="Arial" w:cs="Arial"/>
        </w:rPr>
        <w:t>iniciará em xxx de março de 2023, extinguindo-se em xxx de abril de 2023, podendo ser prorrogado nos termos da Lei nº 14.133/2021.</w:t>
      </w:r>
    </w:p>
    <w:p w14:paraId="02A4A06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15-OBRIGAÇÕES DA CONTRATADA.</w:t>
      </w:r>
    </w:p>
    <w:p w14:paraId="00AA1EA2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CONTRATADA obriga-se a:</w:t>
      </w:r>
    </w:p>
    <w:p w14:paraId="1965DB7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Arcar com a responsabilidade civil por todos e quaisquer danos materiais e morais causados pela ação ou omissão de seus empregados, trabalhadores, prepostos ou representantes, dolosa ou culposamente, à Prefeitura ou a terceiros;</w:t>
      </w:r>
    </w:p>
    <w:p w14:paraId="73A10797" w14:textId="3C09B90E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Utilizar empregados habilitados e com conhecimentos básicos </w:t>
      </w:r>
      <w:r w:rsidR="004306D2">
        <w:rPr>
          <w:rFonts w:ascii="Arial" w:eastAsia="Calibri" w:hAnsi="Arial" w:cs="Arial"/>
        </w:rPr>
        <w:t xml:space="preserve">quando da </w:t>
      </w:r>
      <w:r w:rsidR="00CB7CF3">
        <w:rPr>
          <w:rFonts w:ascii="Arial" w:eastAsia="Calibri" w:hAnsi="Arial" w:cs="Arial"/>
        </w:rPr>
        <w:t xml:space="preserve">execução dos serviços </w:t>
      </w:r>
      <w:r w:rsidRPr="00065CAD">
        <w:rPr>
          <w:rFonts w:ascii="Arial" w:eastAsia="Calibri" w:hAnsi="Arial" w:cs="Arial"/>
        </w:rPr>
        <w:t>de conformidade com as normas e determinações em vigor;</w:t>
      </w:r>
    </w:p>
    <w:p w14:paraId="03AD0EBF" w14:textId="770BFAF1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Apresentar à CONTRATANTE, quando for o caso, a relação nominal dos empregados que adentrarão órgão para a </w:t>
      </w:r>
      <w:r w:rsidR="00CB7CF3">
        <w:rPr>
          <w:rFonts w:ascii="Arial" w:eastAsia="Calibri" w:hAnsi="Arial" w:cs="Arial"/>
        </w:rPr>
        <w:t>prestação dos serviços</w:t>
      </w:r>
      <w:r w:rsidRPr="00065CAD">
        <w:rPr>
          <w:rFonts w:ascii="Arial" w:eastAsia="Calibri" w:hAnsi="Arial" w:cs="Arial"/>
        </w:rPr>
        <w:t>, os quais devem estar devidamente identificados por meio de crachá;</w:t>
      </w:r>
    </w:p>
    <w:p w14:paraId="211B67D1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Responsabilizar-se por todas as obrigações trabalhistas, sociais, previdenciárias, tributárias e as O demais previstas na legislação específica;</w:t>
      </w:r>
    </w:p>
    <w:p w14:paraId="336A79C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Instruir seus empregados quanto à necessidade de acatar as orientações da Administração, inclusive quanto ao cumprimento das Normas Internas, quando for o caso;</w:t>
      </w:r>
    </w:p>
    <w:p w14:paraId="16CE40ED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019D8D1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Manter durante toda a vigência do contrato, em compatibilidade com as obrigações assumidas, todas as condições de habilitação e qualificação exigidas na contratação;</w:t>
      </w:r>
    </w:p>
    <w:p w14:paraId="143A0EF6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transferir a terceiros, por qualquer forma, nem mesmo parcialmente, as obrigações assumidas, nem subcontratar qualquer das prestações a que está obrigada, exceto nas condições se previamente autorizadas pela Administração;</w:t>
      </w:r>
    </w:p>
    <w:p w14:paraId="125CACEB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</w:rPr>
      </w:pPr>
      <w:r w:rsidRPr="00065CAD">
        <w:rPr>
          <w:rFonts w:ascii="Arial" w:eastAsia="Calibri" w:hAnsi="Arial" w:cs="Arial"/>
          <w:b/>
          <w:bCs/>
        </w:rPr>
        <w:t>16 - OBRIGAÇÕES DA CONTRATANTE.</w:t>
      </w:r>
    </w:p>
    <w:p w14:paraId="08625F2C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 CONTRATANTE obriga-se a:</w:t>
      </w:r>
    </w:p>
    <w:p w14:paraId="40E9C1C3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Proporcionar todas as condições para que a CONTRATADA possa desempenhar seus serviços de acordo com as determinações do Contrato e do Termo de Referência;</w:t>
      </w:r>
    </w:p>
    <w:p w14:paraId="62BB1C75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Exigir o cumprimento de todas as obrigações assumidas pela CONTRATADA, de acordo com .as cláusulas contratuais e os termos de sua proposta;</w:t>
      </w:r>
    </w:p>
    <w:p w14:paraId="3F3FA918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14:paraId="0846C97A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Notificar a CONTRATADA por escrito da ocorrência de eventuais imperfeições no curso da execução dos serviços, fixando prazo para a sua correção;</w:t>
      </w:r>
    </w:p>
    <w:p w14:paraId="1EABF2F0" w14:textId="77777777" w:rsidR="0061670B" w:rsidRPr="00065CAD" w:rsidRDefault="0061670B" w:rsidP="0061670B">
      <w:pPr>
        <w:spacing w:line="25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Pagar à CONTRATADA o valor resultante da prestação do serviço, na forma do contrato.</w:t>
      </w:r>
    </w:p>
    <w:p w14:paraId="45939BB5" w14:textId="77777777" w:rsidR="0061670B" w:rsidRPr="00065CAD" w:rsidRDefault="0061670B" w:rsidP="0061670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284" w:hanging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  <w:r w:rsidRPr="00065CAD">
        <w:rPr>
          <w:rFonts w:ascii="Arial" w:eastAsia="Consolas" w:hAnsi="Arial" w:cs="Arial"/>
          <w:b/>
          <w:bCs/>
          <w:lang w:val="pt-PT" w:eastAsia="pt-PT" w:bidi="pt-PT"/>
        </w:rPr>
        <w:t>-DAS</w:t>
      </w:r>
      <w:r w:rsidRPr="00065CAD">
        <w:rPr>
          <w:rFonts w:ascii="Arial" w:eastAsia="Consolas" w:hAnsi="Arial" w:cs="Arial"/>
          <w:b/>
          <w:bCs/>
          <w:spacing w:val="-9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DISPOSIÇÕES</w:t>
      </w:r>
      <w:r w:rsidRPr="00065CAD">
        <w:rPr>
          <w:rFonts w:ascii="Arial" w:eastAsia="Consolas" w:hAnsi="Arial" w:cs="Arial"/>
          <w:b/>
          <w:bCs/>
          <w:spacing w:val="-8"/>
          <w:lang w:val="pt-PT" w:eastAsia="pt-PT" w:bidi="pt-PT"/>
        </w:rPr>
        <w:t xml:space="preserve"> </w:t>
      </w:r>
      <w:r w:rsidRPr="00065CAD">
        <w:rPr>
          <w:rFonts w:ascii="Arial" w:eastAsia="Consolas" w:hAnsi="Arial" w:cs="Arial"/>
          <w:b/>
          <w:bCs/>
          <w:lang w:val="pt-PT" w:eastAsia="pt-PT" w:bidi="pt-PT"/>
        </w:rPr>
        <w:t>GERAIS</w:t>
      </w:r>
    </w:p>
    <w:p w14:paraId="4AC94346" w14:textId="77777777" w:rsidR="0061670B" w:rsidRPr="00065CAD" w:rsidRDefault="0061670B" w:rsidP="0061670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Arial" w:eastAsia="Consolas" w:hAnsi="Arial" w:cs="Arial"/>
          <w:b/>
          <w:bCs/>
          <w:lang w:val="pt-PT" w:eastAsia="pt-PT" w:bidi="pt-PT"/>
        </w:rPr>
      </w:pPr>
    </w:p>
    <w:p w14:paraId="2626AA13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caso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restarem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desclassificados ou inabilitados (procedimento fracassado),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poderá:</w:t>
      </w:r>
    </w:p>
    <w:p w14:paraId="345765F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republicar</w:t>
      </w:r>
      <w:r w:rsidRPr="00065CAD">
        <w:rPr>
          <w:rFonts w:ascii="Arial" w:eastAsia="Calibri" w:hAnsi="Arial" w:cs="Arial"/>
          <w:spacing w:val="-6"/>
        </w:rPr>
        <w:t xml:space="preserve"> </w:t>
      </w:r>
      <w:r w:rsidRPr="00065CAD">
        <w:rPr>
          <w:rFonts w:ascii="Arial" w:eastAsia="Calibri" w:hAnsi="Arial" w:cs="Arial"/>
        </w:rPr>
        <w:t>o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presente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aviso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com</w:t>
      </w:r>
      <w:r w:rsidRPr="00065CAD">
        <w:rPr>
          <w:rFonts w:ascii="Arial" w:eastAsia="Calibri" w:hAnsi="Arial" w:cs="Arial"/>
          <w:spacing w:val="-6"/>
        </w:rPr>
        <w:t xml:space="preserve"> </w:t>
      </w:r>
      <w:r w:rsidRPr="00065CAD">
        <w:rPr>
          <w:rFonts w:ascii="Arial" w:eastAsia="Calibri" w:hAnsi="Arial" w:cs="Arial"/>
        </w:rPr>
        <w:t>uma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nova</w:t>
      </w:r>
      <w:r w:rsidRPr="00065CAD">
        <w:rPr>
          <w:rFonts w:ascii="Arial" w:eastAsia="Calibri" w:hAnsi="Arial" w:cs="Arial"/>
          <w:spacing w:val="-5"/>
        </w:rPr>
        <w:t xml:space="preserve"> </w:t>
      </w:r>
      <w:r w:rsidRPr="00065CAD">
        <w:rPr>
          <w:rFonts w:ascii="Arial" w:eastAsia="Calibri" w:hAnsi="Arial" w:cs="Arial"/>
        </w:rPr>
        <w:t>data;</w:t>
      </w:r>
    </w:p>
    <w:p w14:paraId="17F0282D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proofErr w:type="gramStart"/>
      <w:r w:rsidRPr="00065CAD">
        <w:rPr>
          <w:rFonts w:ascii="Arial" w:eastAsia="Calibri" w:hAnsi="Arial" w:cs="Arial"/>
        </w:rPr>
        <w:t>valer</w:t>
      </w:r>
      <w:proofErr w:type="gramEnd"/>
      <w:r w:rsidRPr="00065CAD">
        <w:rPr>
          <w:rFonts w:ascii="Arial" w:eastAsia="Calibri" w:hAnsi="Arial" w:cs="Arial"/>
        </w:rPr>
        <w:t>-se, para a contratação, de proposta obtida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na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pesquisa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preços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que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serviu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base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ao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procedimento,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 xml:space="preserve">se 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houver, privilegiando-se os menores preços, sempre que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 xml:space="preserve">possível, e desde que atendidas às condições de habilitação 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exigidas.</w:t>
      </w:r>
    </w:p>
    <w:p w14:paraId="7341FF97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 caso do subitem anterior, a contratação 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operacionalizada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fora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procedimento.</w:t>
      </w:r>
    </w:p>
    <w:p w14:paraId="45F73B5E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fixar prazo para que possa haver adequação das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  <w:spacing w:val="-1"/>
        </w:rPr>
        <w:t>propostas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ou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da</w:t>
      </w:r>
      <w:r w:rsidRPr="00065CAD">
        <w:rPr>
          <w:rFonts w:ascii="Arial" w:eastAsia="Calibri" w:hAnsi="Arial" w:cs="Arial"/>
          <w:spacing w:val="-33"/>
        </w:rPr>
        <w:t xml:space="preserve"> </w:t>
      </w:r>
      <w:r w:rsidRPr="00065CAD">
        <w:rPr>
          <w:rFonts w:ascii="Arial" w:eastAsia="Calibri" w:hAnsi="Arial" w:cs="Arial"/>
          <w:spacing w:val="-1"/>
        </w:rPr>
        <w:t>documentação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de</w:t>
      </w:r>
      <w:r w:rsidRPr="00065CAD">
        <w:rPr>
          <w:rFonts w:ascii="Arial" w:eastAsia="Calibri" w:hAnsi="Arial" w:cs="Arial"/>
          <w:spacing w:val="-38"/>
        </w:rPr>
        <w:t xml:space="preserve"> </w:t>
      </w:r>
      <w:r w:rsidRPr="00065CAD">
        <w:rPr>
          <w:rFonts w:ascii="Arial" w:eastAsia="Calibri" w:hAnsi="Arial" w:cs="Arial"/>
          <w:spacing w:val="-1"/>
        </w:rPr>
        <w:t>habilitação,</w:t>
      </w:r>
      <w:r w:rsidRPr="00065CAD">
        <w:rPr>
          <w:rFonts w:ascii="Arial" w:eastAsia="Calibri" w:hAnsi="Arial" w:cs="Arial"/>
          <w:spacing w:val="-31"/>
        </w:rPr>
        <w:t xml:space="preserve"> </w:t>
      </w:r>
      <w:r w:rsidRPr="00065CAD">
        <w:rPr>
          <w:rFonts w:ascii="Arial" w:eastAsia="Calibri" w:hAnsi="Arial" w:cs="Arial"/>
          <w:spacing w:val="-1"/>
        </w:rPr>
        <w:t>conforme</w:t>
      </w:r>
      <w:r w:rsidRPr="00065CAD">
        <w:rPr>
          <w:rFonts w:ascii="Arial" w:eastAsia="Calibri" w:hAnsi="Arial" w:cs="Arial"/>
          <w:spacing w:val="-33"/>
        </w:rPr>
        <w:t xml:space="preserve"> </w:t>
      </w:r>
      <w:r w:rsidRPr="00065CAD">
        <w:rPr>
          <w:rFonts w:ascii="Arial" w:eastAsia="Calibri" w:hAnsi="Arial" w:cs="Arial"/>
          <w:spacing w:val="-1"/>
        </w:rPr>
        <w:t>o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>caso.</w:t>
      </w:r>
    </w:p>
    <w:p w14:paraId="38AD5433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providências</w:t>
      </w:r>
      <w:r w:rsidRPr="00065CAD">
        <w:rPr>
          <w:rFonts w:ascii="Arial" w:eastAsia="Calibri" w:hAnsi="Arial" w:cs="Arial"/>
          <w:spacing w:val="-1"/>
        </w:rPr>
        <w:t xml:space="preserve"> </w:t>
      </w:r>
      <w:r w:rsidRPr="00065CAD">
        <w:rPr>
          <w:rFonts w:ascii="Arial" w:eastAsia="Calibri" w:hAnsi="Arial" w:cs="Arial"/>
        </w:rPr>
        <w:t>dos subitens</w:t>
      </w:r>
      <w:proofErr w:type="gramStart"/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</w:t>
      </w:r>
      <w:proofErr w:type="gramEnd"/>
      <w:r w:rsidRPr="00065CAD">
        <w:rPr>
          <w:rFonts w:ascii="Arial" w:eastAsia="Calibri" w:hAnsi="Arial" w:cs="Arial"/>
          <w:spacing w:val="-1"/>
        </w:rPr>
        <w:t xml:space="preserve">(b  </w:t>
      </w:r>
      <w:r w:rsidRPr="00065CAD">
        <w:rPr>
          <w:rFonts w:ascii="Arial" w:eastAsia="Calibri" w:hAnsi="Arial" w:cs="Arial"/>
          <w:spacing w:val="-35"/>
        </w:rPr>
        <w:t xml:space="preserve"> </w:t>
      </w:r>
      <w:r w:rsidRPr="00065CAD">
        <w:rPr>
          <w:rFonts w:ascii="Arial" w:eastAsia="Calibri" w:hAnsi="Arial" w:cs="Arial"/>
          <w:spacing w:val="-1"/>
        </w:rPr>
        <w:t>e</w:t>
      </w:r>
      <w:r w:rsidRPr="00065CAD">
        <w:rPr>
          <w:rFonts w:ascii="Arial" w:eastAsia="Calibri" w:hAnsi="Arial" w:cs="Arial"/>
          <w:spacing w:val="-34"/>
        </w:rPr>
        <w:t xml:space="preserve"> </w:t>
      </w:r>
      <w:r w:rsidRPr="00065CAD">
        <w:rPr>
          <w:rFonts w:ascii="Arial" w:eastAsia="Calibri" w:hAnsi="Arial" w:cs="Arial"/>
          <w:spacing w:val="-1"/>
        </w:rPr>
        <w:t xml:space="preserve">  c) </w:t>
      </w:r>
      <w:r w:rsidRPr="00065CAD">
        <w:rPr>
          <w:rFonts w:ascii="Arial" w:eastAsia="Calibri" w:hAnsi="Arial" w:cs="Arial"/>
          <w:spacing w:val="-35"/>
        </w:rPr>
        <w:t xml:space="preserve">  </w:t>
      </w:r>
      <w:r w:rsidRPr="00065CAD">
        <w:rPr>
          <w:rFonts w:ascii="Arial" w:eastAsia="Calibri" w:hAnsi="Arial" w:cs="Arial"/>
        </w:rPr>
        <w:t>acima</w:t>
      </w:r>
      <w:r w:rsidRPr="00065CAD">
        <w:rPr>
          <w:rFonts w:ascii="Arial" w:eastAsia="Calibri" w:hAnsi="Arial" w:cs="Arial"/>
          <w:spacing w:val="-34"/>
        </w:rPr>
        <w:t xml:space="preserve">  </w:t>
      </w:r>
      <w:r w:rsidRPr="00065CAD">
        <w:rPr>
          <w:rFonts w:ascii="Arial" w:eastAsia="Calibri" w:hAnsi="Arial" w:cs="Arial"/>
        </w:rPr>
        <w:t>poderão</w:t>
      </w:r>
      <w:r w:rsidRPr="00065CAD">
        <w:rPr>
          <w:rFonts w:ascii="Arial" w:eastAsia="Calibri" w:hAnsi="Arial" w:cs="Arial"/>
          <w:spacing w:val="-142"/>
        </w:rPr>
        <w:t xml:space="preserve">    </w:t>
      </w:r>
      <w:r w:rsidRPr="00065CAD">
        <w:rPr>
          <w:rFonts w:ascii="Arial" w:eastAsia="Calibri" w:hAnsi="Arial" w:cs="Arial"/>
        </w:rPr>
        <w:t>ser utilizadas se não houver o comparecimento de 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interessados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(procedimento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deserto).</w:t>
      </w:r>
    </w:p>
    <w:p w14:paraId="6C83F434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lastRenderedPageBreak/>
        <w:t>Havendo a necessidade de realização de ato de qualquer</w:t>
      </w:r>
      <w:r w:rsidRPr="00065CAD">
        <w:rPr>
          <w:rFonts w:ascii="Arial" w:eastAsia="Calibri" w:hAnsi="Arial" w:cs="Arial"/>
          <w:spacing w:val="-142"/>
        </w:rPr>
        <w:t xml:space="preserve">      </w:t>
      </w:r>
      <w:r w:rsidRPr="00065CAD">
        <w:rPr>
          <w:rFonts w:ascii="Arial" w:eastAsia="Calibri" w:hAnsi="Arial" w:cs="Arial"/>
        </w:rPr>
        <w:t>natureza pelos fornecedores, cujo prazo não conste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Aviso de Contratação Direta, deverá ser atendido o prazo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indicado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pelo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agente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competente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respectiva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notificação.</w:t>
      </w:r>
    </w:p>
    <w:p w14:paraId="1D3C5A44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Caberá ao fornecedor acompanhar as operações, ficando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responsável pelo ônus decorrente da perda do negócio diante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inobservância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quaisquer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mensagens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emitidas</w:t>
      </w:r>
      <w:r w:rsidRPr="00065CAD">
        <w:rPr>
          <w:rFonts w:ascii="Arial" w:eastAsia="Calibri" w:hAnsi="Arial" w:cs="Arial"/>
          <w:spacing w:val="1"/>
        </w:rPr>
        <w:t xml:space="preserve"> pela </w:t>
      </w:r>
      <w:r w:rsidRPr="00065CAD">
        <w:rPr>
          <w:rFonts w:ascii="Arial" w:eastAsia="Calibri" w:hAnsi="Arial" w:cs="Arial"/>
          <w:spacing w:val="-142"/>
        </w:rPr>
        <w:t xml:space="preserve">      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sua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desconexão.</w:t>
      </w:r>
    </w:p>
    <w:p w14:paraId="2F5FA16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Não havendo expediente ou ocorrendo qualquer fato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superveniente que impeça a realização do certame na data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marcada, a sessão será automaticamente transferida para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primeiro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útil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subsequente,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mesmo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 xml:space="preserve">horário </w:t>
      </w:r>
      <w:r w:rsidRPr="00065CAD">
        <w:rPr>
          <w:rFonts w:ascii="Arial" w:eastAsia="Calibri" w:hAnsi="Arial" w:cs="Arial"/>
          <w:spacing w:val="-142"/>
        </w:rPr>
        <w:t xml:space="preserve">  </w:t>
      </w:r>
      <w:r w:rsidRPr="00065CAD">
        <w:rPr>
          <w:rFonts w:ascii="Arial" w:eastAsia="Calibri" w:hAnsi="Arial" w:cs="Arial"/>
        </w:rPr>
        <w:t>anteriormente estabelecido, desde que não haja comunicação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contrário.</w:t>
      </w:r>
    </w:p>
    <w:p w14:paraId="02C060FD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julgamento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habilitação,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12"/>
        </w:rPr>
        <w:t xml:space="preserve"> </w:t>
      </w:r>
      <w:r w:rsidRPr="00065CAD">
        <w:rPr>
          <w:rFonts w:ascii="Arial" w:eastAsia="Calibri" w:hAnsi="Arial" w:cs="Arial"/>
        </w:rPr>
        <w:t>poderá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sanar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erros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falhas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que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alterem</w:t>
      </w:r>
      <w:proofErr w:type="gramStart"/>
      <w:r w:rsidRPr="00065CAD">
        <w:rPr>
          <w:rFonts w:ascii="Arial" w:eastAsia="Calibri" w:hAnsi="Arial" w:cs="Arial"/>
        </w:rPr>
        <w:t xml:space="preserve"> </w:t>
      </w:r>
      <w:r w:rsidRPr="00065CAD">
        <w:rPr>
          <w:rFonts w:ascii="Arial" w:eastAsia="Calibri" w:hAnsi="Arial" w:cs="Arial"/>
          <w:spacing w:val="-141"/>
        </w:rPr>
        <w:t xml:space="preserve"> </w:t>
      </w:r>
      <w:proofErr w:type="gramEnd"/>
      <w:r w:rsidRPr="00065CAD">
        <w:rPr>
          <w:rFonts w:ascii="Arial" w:eastAsia="Calibri" w:hAnsi="Arial" w:cs="Arial"/>
        </w:rPr>
        <w:t>a substância das propostas, dos documentos e sua validade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jurídica, mediante despacho fundamentado, registrado em Ata</w:t>
      </w:r>
      <w:r w:rsidRPr="00065CAD">
        <w:rPr>
          <w:rFonts w:ascii="Arial" w:eastAsia="Calibri" w:hAnsi="Arial" w:cs="Arial"/>
          <w:spacing w:val="-142"/>
        </w:rPr>
        <w:t xml:space="preserve">            </w:t>
      </w:r>
      <w:r w:rsidRPr="00065CAD">
        <w:rPr>
          <w:rFonts w:ascii="Arial" w:eastAsia="Calibri" w:hAnsi="Arial" w:cs="Arial"/>
        </w:rPr>
        <w:t xml:space="preserve"> e acessível a todos, atribuindo-lhes validade e eficácia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para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habilitação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classificação.</w:t>
      </w:r>
    </w:p>
    <w:p w14:paraId="2955789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As normas disciplinadoras deste Aviso de Contratação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Direta serão sempre interpretadas em favor da ampliação 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disputa entre os interessados, desde que não comprometam 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interesse da Administração, o princípio da isonomia, 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finalidade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segurança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4F0018EA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fornecedores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assumem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13"/>
        </w:rPr>
        <w:t xml:space="preserve"> </w:t>
      </w:r>
      <w:r w:rsidRPr="00065CAD">
        <w:rPr>
          <w:rFonts w:ascii="Arial" w:eastAsia="Calibri" w:hAnsi="Arial" w:cs="Arial"/>
        </w:rPr>
        <w:t>custos</w:t>
      </w:r>
      <w:r w:rsidRPr="00065CAD">
        <w:rPr>
          <w:rFonts w:ascii="Arial" w:eastAsia="Calibri" w:hAnsi="Arial" w:cs="Arial"/>
          <w:spacing w:val="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17"/>
        </w:rPr>
        <w:t xml:space="preserve"> </w:t>
      </w:r>
      <w:r w:rsidRPr="00065CAD">
        <w:rPr>
          <w:rFonts w:ascii="Arial" w:eastAsia="Calibri" w:hAnsi="Arial" w:cs="Arial"/>
        </w:rPr>
        <w:t>preparação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apresentação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suas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propostas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a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Administração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não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será,</w:t>
      </w:r>
      <w:r w:rsidRPr="00065CAD">
        <w:rPr>
          <w:rFonts w:ascii="Arial" w:eastAsia="Calibri" w:hAnsi="Arial" w:cs="Arial"/>
          <w:spacing w:val="-141"/>
        </w:rPr>
        <w:t xml:space="preserve"> </w:t>
      </w:r>
      <w:r w:rsidRPr="00065CAD">
        <w:rPr>
          <w:rFonts w:ascii="Arial" w:eastAsia="Calibri" w:hAnsi="Arial" w:cs="Arial"/>
        </w:rPr>
        <w:t>em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nenhum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caso,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responsável</w:t>
      </w:r>
      <w:r w:rsidRPr="00065CAD">
        <w:rPr>
          <w:rFonts w:ascii="Arial" w:eastAsia="Calibri" w:hAnsi="Arial" w:cs="Arial"/>
          <w:spacing w:val="47"/>
        </w:rPr>
        <w:t xml:space="preserve"> </w:t>
      </w:r>
      <w:r w:rsidRPr="00065CAD">
        <w:rPr>
          <w:rFonts w:ascii="Arial" w:eastAsia="Calibri" w:hAnsi="Arial" w:cs="Arial"/>
        </w:rPr>
        <w:t>por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esses</w:t>
      </w:r>
      <w:r w:rsidRPr="00065CAD">
        <w:rPr>
          <w:rFonts w:ascii="Arial" w:eastAsia="Calibri" w:hAnsi="Arial" w:cs="Arial"/>
          <w:spacing w:val="42"/>
        </w:rPr>
        <w:t xml:space="preserve"> </w:t>
      </w:r>
      <w:r w:rsidRPr="00065CAD">
        <w:rPr>
          <w:rFonts w:ascii="Arial" w:eastAsia="Calibri" w:hAnsi="Arial" w:cs="Arial"/>
        </w:rPr>
        <w:t>custos, independentemente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condução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20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resultado</w:t>
      </w:r>
      <w:r w:rsidRPr="00065CAD">
        <w:rPr>
          <w:rFonts w:ascii="Arial" w:eastAsia="Calibri" w:hAnsi="Arial" w:cs="Arial"/>
          <w:spacing w:val="-2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25"/>
        </w:rPr>
        <w:t xml:space="preserve"> </w:t>
      </w:r>
      <w:r w:rsidRPr="00065CAD">
        <w:rPr>
          <w:rFonts w:ascii="Arial" w:eastAsia="Calibri" w:hAnsi="Arial" w:cs="Arial"/>
        </w:rPr>
        <w:t>processo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42"/>
        </w:rPr>
        <w:t xml:space="preserve"> </w:t>
      </w:r>
      <w:r w:rsidRPr="00065CAD">
        <w:rPr>
          <w:rFonts w:ascii="Arial" w:eastAsia="Calibri" w:hAnsi="Arial" w:cs="Arial"/>
        </w:rPr>
        <w:t>contratação.</w:t>
      </w:r>
    </w:p>
    <w:p w14:paraId="51C8B49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Em caso de divergência entre disposições deste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Aviso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Direta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de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seus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anexos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ou</w:t>
      </w:r>
      <w:r w:rsidRPr="00065CAD">
        <w:rPr>
          <w:rFonts w:ascii="Arial" w:eastAsia="Calibri" w:hAnsi="Arial" w:cs="Arial"/>
          <w:spacing w:val="-19"/>
        </w:rPr>
        <w:t xml:space="preserve"> </w:t>
      </w:r>
      <w:r w:rsidRPr="00065CAD">
        <w:rPr>
          <w:rFonts w:ascii="Arial" w:eastAsia="Calibri" w:hAnsi="Arial" w:cs="Arial"/>
        </w:rPr>
        <w:t>demais</w:t>
      </w:r>
      <w:r w:rsidRPr="00065CAD">
        <w:rPr>
          <w:rFonts w:ascii="Arial" w:eastAsia="Calibri" w:hAnsi="Arial" w:cs="Arial"/>
          <w:spacing w:val="-18"/>
        </w:rPr>
        <w:t xml:space="preserve"> </w:t>
      </w:r>
      <w:r w:rsidRPr="00065CAD">
        <w:rPr>
          <w:rFonts w:ascii="Arial" w:eastAsia="Calibri" w:hAnsi="Arial" w:cs="Arial"/>
        </w:rPr>
        <w:t>peças que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compõem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processo prevalecerá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as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deste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Aviso.</w:t>
      </w:r>
    </w:p>
    <w:p w14:paraId="1BC571DB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sessão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pública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será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divulgada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Ata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com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publicação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site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município,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no</w:t>
      </w:r>
      <w:r w:rsidRPr="00065CAD">
        <w:rPr>
          <w:rFonts w:ascii="Arial" w:eastAsia="Calibri" w:hAnsi="Arial" w:cs="Arial"/>
          <w:spacing w:val="-4"/>
        </w:rPr>
        <w:t xml:space="preserve"> </w:t>
      </w:r>
      <w:r w:rsidRPr="00065CAD">
        <w:rPr>
          <w:rFonts w:ascii="Arial" w:eastAsia="Calibri" w:hAnsi="Arial" w:cs="Arial"/>
        </w:rPr>
        <w:t>diário eletrônico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oficial.</w:t>
      </w:r>
    </w:p>
    <w:p w14:paraId="00ADA658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Integram este Aviso de Contratação Direta, para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todos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fins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e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efeitos,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os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seguintes</w:t>
      </w:r>
      <w:r w:rsidRPr="00065CAD">
        <w:rPr>
          <w:rFonts w:ascii="Arial" w:eastAsia="Calibri" w:hAnsi="Arial" w:cs="Arial"/>
          <w:spacing w:val="-3"/>
        </w:rPr>
        <w:t xml:space="preserve"> </w:t>
      </w:r>
      <w:r w:rsidRPr="00065CAD">
        <w:rPr>
          <w:rFonts w:ascii="Arial" w:eastAsia="Calibri" w:hAnsi="Arial" w:cs="Arial"/>
        </w:rPr>
        <w:t>anexos:</w:t>
      </w:r>
    </w:p>
    <w:p w14:paraId="20D331E5" w14:textId="77777777" w:rsidR="0061670B" w:rsidRPr="00065CAD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>Fica eleito o foro da Comarca de Colinas do Tocantins - TO para dirimir qualquer controvérsia acerca da presente</w:t>
      </w:r>
      <w:r w:rsidRPr="00065CAD">
        <w:rPr>
          <w:rFonts w:ascii="Arial" w:eastAsia="Calibri" w:hAnsi="Arial" w:cs="Arial"/>
          <w:spacing w:val="1"/>
        </w:rPr>
        <w:t xml:space="preserve"> </w:t>
      </w:r>
      <w:r w:rsidRPr="00065CAD">
        <w:rPr>
          <w:rFonts w:ascii="Arial" w:eastAsia="Calibri" w:hAnsi="Arial" w:cs="Arial"/>
        </w:rPr>
        <w:t>contratação</w:t>
      </w:r>
      <w:r w:rsidRPr="00065CAD">
        <w:rPr>
          <w:rFonts w:ascii="Arial" w:eastAsia="Calibri" w:hAnsi="Arial" w:cs="Arial"/>
          <w:spacing w:val="-2"/>
        </w:rPr>
        <w:t xml:space="preserve"> </w:t>
      </w:r>
      <w:r w:rsidRPr="00065CAD">
        <w:rPr>
          <w:rFonts w:ascii="Arial" w:eastAsia="Calibri" w:hAnsi="Arial" w:cs="Arial"/>
        </w:rPr>
        <w:t>direta.</w:t>
      </w:r>
    </w:p>
    <w:p w14:paraId="612DF34F" w14:textId="77777777" w:rsidR="0061670B" w:rsidRPr="00065CAD" w:rsidRDefault="0061670B" w:rsidP="0061670B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left="720" w:right="109"/>
        <w:jc w:val="both"/>
        <w:rPr>
          <w:rFonts w:ascii="Arial" w:eastAsia="Calibri" w:hAnsi="Arial" w:cs="Arial"/>
        </w:rPr>
      </w:pPr>
    </w:p>
    <w:p w14:paraId="17514843" w14:textId="77777777" w:rsidR="004252C0" w:rsidRDefault="0061670B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                                              </w:t>
      </w:r>
      <w:r w:rsidR="00D433E6" w:rsidRPr="00065CAD">
        <w:rPr>
          <w:rFonts w:ascii="Arial" w:eastAsia="Calibri" w:hAnsi="Arial" w:cs="Arial"/>
        </w:rPr>
        <w:t xml:space="preserve">         </w:t>
      </w:r>
    </w:p>
    <w:p w14:paraId="5AAD1DA6" w14:textId="77777777" w:rsidR="004252C0" w:rsidRDefault="004252C0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37A3127D" w14:textId="77777777" w:rsidR="004252C0" w:rsidRDefault="004252C0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3ADC103A" w14:textId="75F4F6FA" w:rsidR="0061670B" w:rsidRPr="00065CAD" w:rsidRDefault="00D433E6" w:rsidP="00B4064D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right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Bernardo Sayão - TO, </w:t>
      </w:r>
      <w:r w:rsidR="00415B90">
        <w:rPr>
          <w:rFonts w:ascii="Arial" w:eastAsia="Calibri" w:hAnsi="Arial" w:cs="Arial"/>
        </w:rPr>
        <w:t>10</w:t>
      </w:r>
      <w:r w:rsidR="004306D2">
        <w:rPr>
          <w:rFonts w:ascii="Arial" w:eastAsia="Calibri" w:hAnsi="Arial" w:cs="Arial"/>
        </w:rPr>
        <w:t xml:space="preserve"> de março de 2023</w:t>
      </w:r>
      <w:r w:rsidR="0061670B" w:rsidRPr="00065CAD">
        <w:rPr>
          <w:rFonts w:ascii="Arial" w:eastAsia="Calibri" w:hAnsi="Arial" w:cs="Arial"/>
        </w:rPr>
        <w:t>.</w:t>
      </w:r>
    </w:p>
    <w:p w14:paraId="2767603B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43E38522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</w:p>
    <w:p w14:paraId="0A77510E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                                             </w:t>
      </w:r>
    </w:p>
    <w:p w14:paraId="1E6D488D" w14:textId="77777777" w:rsidR="0061670B" w:rsidRPr="00065CAD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065CAD">
        <w:rPr>
          <w:rFonts w:ascii="Arial" w:eastAsia="Calibri" w:hAnsi="Arial" w:cs="Arial"/>
        </w:rPr>
        <w:t xml:space="preserve">           </w:t>
      </w:r>
    </w:p>
    <w:p w14:paraId="6185011E" w14:textId="173443B1" w:rsidR="0061670B" w:rsidRPr="00065CAD" w:rsidRDefault="00A86FF3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Gerson da Silva Barbosa</w:t>
      </w:r>
    </w:p>
    <w:p w14:paraId="4688C912" w14:textId="48C11EFD" w:rsidR="0061670B" w:rsidRPr="00065CAD" w:rsidRDefault="004252C0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Secretária Municipal de </w:t>
      </w:r>
      <w:r w:rsidR="00A86FF3">
        <w:rPr>
          <w:rFonts w:ascii="Arial" w:eastAsia="Calibri" w:hAnsi="Arial" w:cs="Arial"/>
        </w:rPr>
        <w:t>Administração</w:t>
      </w:r>
    </w:p>
    <w:p w14:paraId="089683F8" w14:textId="77777777" w:rsidR="007546D0" w:rsidRPr="00065CAD" w:rsidRDefault="007546D0" w:rsidP="0061670B">
      <w:pPr>
        <w:rPr>
          <w:rFonts w:ascii="Arial" w:hAnsi="Arial" w:cs="Arial"/>
        </w:rPr>
      </w:pPr>
    </w:p>
    <w:p w14:paraId="11517F10" w14:textId="77777777" w:rsidR="0097000F" w:rsidRPr="00065CAD" w:rsidRDefault="0097000F">
      <w:pPr>
        <w:rPr>
          <w:rFonts w:ascii="Arial" w:hAnsi="Arial" w:cs="Arial"/>
        </w:rPr>
      </w:pPr>
    </w:p>
    <w:sectPr w:rsidR="0097000F" w:rsidRPr="00065CAD" w:rsidSect="00B6025B">
      <w:headerReference w:type="default" r:id="rId8"/>
      <w:foot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23E98" w14:textId="77777777" w:rsidR="000508D8" w:rsidRDefault="000508D8" w:rsidP="001A5B15">
      <w:pPr>
        <w:spacing w:after="0" w:line="240" w:lineRule="auto"/>
      </w:pPr>
      <w:r>
        <w:separator/>
      </w:r>
    </w:p>
  </w:endnote>
  <w:endnote w:type="continuationSeparator" w:id="0">
    <w:p w14:paraId="2C7F16C4" w14:textId="77777777" w:rsidR="000508D8" w:rsidRDefault="000508D8" w:rsidP="001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D14AF" w14:textId="40096517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Av. Antônio Pescon</w:t>
    </w:r>
    <w:r w:rsidR="0034594B">
      <w:rPr>
        <w:rFonts w:ascii="Arial" w:hAnsi="Arial" w:cs="Arial"/>
        <w:sz w:val="20"/>
        <w:szCs w:val="20"/>
      </w:rPr>
      <w:t>e</w:t>
    </w:r>
    <w:r w:rsidRPr="00597198">
      <w:rPr>
        <w:rFonts w:ascii="Arial" w:hAnsi="Arial" w:cs="Arial"/>
        <w:sz w:val="20"/>
        <w:szCs w:val="20"/>
      </w:rPr>
      <w:t>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14:paraId="589F6DAA" w14:textId="77777777" w:rsidR="001A5B15" w:rsidRDefault="001A5B15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6BD01" w14:textId="77777777" w:rsidR="000508D8" w:rsidRDefault="000508D8" w:rsidP="001A5B15">
      <w:pPr>
        <w:spacing w:after="0" w:line="240" w:lineRule="auto"/>
      </w:pPr>
      <w:r>
        <w:separator/>
      </w:r>
    </w:p>
  </w:footnote>
  <w:footnote w:type="continuationSeparator" w:id="0">
    <w:p w14:paraId="1CA9716A" w14:textId="77777777" w:rsidR="000508D8" w:rsidRDefault="000508D8" w:rsidP="001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982AE" w14:textId="77777777" w:rsidR="001A5B15" w:rsidRDefault="001A5B15" w:rsidP="001A5B15">
    <w:pPr>
      <w:pStyle w:val="Legenda"/>
    </w:pPr>
    <w:r>
      <w:rPr>
        <w:color w:val="0000FF"/>
        <w:sz w:val="22"/>
      </w:rPr>
      <w:object w:dxaOrig="1724" w:dyaOrig="1158" w14:anchorId="657BC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49.5pt" o:ole="" fillcolor="window">
          <v:imagedata r:id="rId1" o:title=""/>
        </v:shape>
        <o:OLEObject Type="Embed" ProgID="Word.Picture.8" ShapeID="_x0000_i1025" DrawAspect="Content" ObjectID="_1739946223" r:id="rId2"/>
      </w:object>
    </w:r>
  </w:p>
  <w:p w14:paraId="18870A81" w14:textId="77777777" w:rsidR="001A5B15" w:rsidRPr="00597198" w:rsidRDefault="001A5B15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14:paraId="0FAAC0AC" w14:textId="77777777" w:rsidR="001A5B15" w:rsidRPr="00597198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14:paraId="24AE36BD" w14:textId="77777777" w:rsidR="001A5B15" w:rsidRPr="00E54CC7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2021 A 2024</w:t>
    </w:r>
  </w:p>
  <w:p w14:paraId="4A76C99A" w14:textId="77777777" w:rsidR="001A5B15" w:rsidRDefault="001A5B15" w:rsidP="001A5B1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25F1"/>
    <w:multiLevelType w:val="hybridMultilevel"/>
    <w:tmpl w:val="0D642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18D6"/>
    <w:multiLevelType w:val="hybridMultilevel"/>
    <w:tmpl w:val="58E0FB44"/>
    <w:lvl w:ilvl="0" w:tplc="547C6F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0C"/>
    <w:rsid w:val="00040644"/>
    <w:rsid w:val="000508D8"/>
    <w:rsid w:val="00065B68"/>
    <w:rsid w:val="00065CAD"/>
    <w:rsid w:val="0009662A"/>
    <w:rsid w:val="000B00ED"/>
    <w:rsid w:val="000B75D9"/>
    <w:rsid w:val="000D66A3"/>
    <w:rsid w:val="000F44FC"/>
    <w:rsid w:val="00101132"/>
    <w:rsid w:val="00164A9F"/>
    <w:rsid w:val="00167430"/>
    <w:rsid w:val="001A5B15"/>
    <w:rsid w:val="001C742B"/>
    <w:rsid w:val="001D317A"/>
    <w:rsid w:val="00225C3E"/>
    <w:rsid w:val="0025071E"/>
    <w:rsid w:val="002A1EAB"/>
    <w:rsid w:val="002F58BC"/>
    <w:rsid w:val="00310E79"/>
    <w:rsid w:val="003221EC"/>
    <w:rsid w:val="0034371A"/>
    <w:rsid w:val="0034594B"/>
    <w:rsid w:val="003516C2"/>
    <w:rsid w:val="003825DD"/>
    <w:rsid w:val="003857BD"/>
    <w:rsid w:val="003B157A"/>
    <w:rsid w:val="003B79C7"/>
    <w:rsid w:val="003C041B"/>
    <w:rsid w:val="003C5C7C"/>
    <w:rsid w:val="004111A5"/>
    <w:rsid w:val="00415B90"/>
    <w:rsid w:val="00421301"/>
    <w:rsid w:val="00422187"/>
    <w:rsid w:val="004248EA"/>
    <w:rsid w:val="004252C0"/>
    <w:rsid w:val="004306D2"/>
    <w:rsid w:val="00463453"/>
    <w:rsid w:val="0046603A"/>
    <w:rsid w:val="004B6477"/>
    <w:rsid w:val="00513145"/>
    <w:rsid w:val="005176D7"/>
    <w:rsid w:val="0054580C"/>
    <w:rsid w:val="00564557"/>
    <w:rsid w:val="005E710D"/>
    <w:rsid w:val="005E712C"/>
    <w:rsid w:val="005F59DC"/>
    <w:rsid w:val="00614441"/>
    <w:rsid w:val="0061670B"/>
    <w:rsid w:val="00617D5A"/>
    <w:rsid w:val="006243C6"/>
    <w:rsid w:val="0070084F"/>
    <w:rsid w:val="00705EEC"/>
    <w:rsid w:val="007546D0"/>
    <w:rsid w:val="00775A0A"/>
    <w:rsid w:val="007A08B1"/>
    <w:rsid w:val="007F1BC7"/>
    <w:rsid w:val="00830B94"/>
    <w:rsid w:val="00854DE1"/>
    <w:rsid w:val="00882153"/>
    <w:rsid w:val="00885863"/>
    <w:rsid w:val="008954D7"/>
    <w:rsid w:val="008B152C"/>
    <w:rsid w:val="008C545E"/>
    <w:rsid w:val="00900262"/>
    <w:rsid w:val="00912836"/>
    <w:rsid w:val="00917EA6"/>
    <w:rsid w:val="0097000F"/>
    <w:rsid w:val="00975BDE"/>
    <w:rsid w:val="00986761"/>
    <w:rsid w:val="0098782F"/>
    <w:rsid w:val="009D7189"/>
    <w:rsid w:val="00A211F2"/>
    <w:rsid w:val="00A40243"/>
    <w:rsid w:val="00A46AEB"/>
    <w:rsid w:val="00A8228F"/>
    <w:rsid w:val="00A86FF3"/>
    <w:rsid w:val="00B27FB5"/>
    <w:rsid w:val="00B4064D"/>
    <w:rsid w:val="00B45865"/>
    <w:rsid w:val="00B6025B"/>
    <w:rsid w:val="00B67EC7"/>
    <w:rsid w:val="00BC24EA"/>
    <w:rsid w:val="00BE73A4"/>
    <w:rsid w:val="00C3593E"/>
    <w:rsid w:val="00C41541"/>
    <w:rsid w:val="00C4674E"/>
    <w:rsid w:val="00C77A35"/>
    <w:rsid w:val="00C9201F"/>
    <w:rsid w:val="00CA0D48"/>
    <w:rsid w:val="00CB7CF3"/>
    <w:rsid w:val="00CD62BC"/>
    <w:rsid w:val="00D433E6"/>
    <w:rsid w:val="00D65735"/>
    <w:rsid w:val="00D80E36"/>
    <w:rsid w:val="00D82611"/>
    <w:rsid w:val="00DE7E25"/>
    <w:rsid w:val="00DF5F14"/>
    <w:rsid w:val="00E26835"/>
    <w:rsid w:val="00E33407"/>
    <w:rsid w:val="00E63E4B"/>
    <w:rsid w:val="00E6609C"/>
    <w:rsid w:val="00EB3455"/>
    <w:rsid w:val="00EE04D0"/>
    <w:rsid w:val="00F02D5F"/>
    <w:rsid w:val="00F0304D"/>
    <w:rsid w:val="00F046A7"/>
    <w:rsid w:val="00F27495"/>
    <w:rsid w:val="00FA04E9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E2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2393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ALMOX</cp:lastModifiedBy>
  <cp:revision>3</cp:revision>
  <cp:lastPrinted>2023-01-16T14:06:00Z</cp:lastPrinted>
  <dcterms:created xsi:type="dcterms:W3CDTF">2023-03-10T11:34:00Z</dcterms:created>
  <dcterms:modified xsi:type="dcterms:W3CDTF">2023-03-10T12:37:00Z</dcterms:modified>
</cp:coreProperties>
</file>